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48" w:rsidRPr="007D5BD3" w:rsidRDefault="00A54E48" w:rsidP="00A54E48">
      <w:pPr>
        <w:pageBreakBefore/>
        <w:tabs>
          <w:tab w:val="left" w:pos="3660"/>
          <w:tab w:val="left" w:pos="3690"/>
        </w:tabs>
        <w:spacing w:before="80" w:line="288" w:lineRule="auto"/>
        <w:rPr>
          <w:b/>
          <w:sz w:val="20"/>
          <w:szCs w:val="20"/>
          <w:lang w:val="el-GR"/>
        </w:rPr>
      </w:pPr>
      <w:r w:rsidRPr="007D5BD3">
        <w:rPr>
          <w:b/>
          <w:sz w:val="20"/>
          <w:szCs w:val="20"/>
          <w:lang w:val="el-GR"/>
        </w:rPr>
        <w:t>Πίνακας ΙΙΙ.</w:t>
      </w:r>
      <w:r>
        <w:rPr>
          <w:b/>
          <w:sz w:val="20"/>
          <w:szCs w:val="20"/>
          <w:lang w:val="el-GR"/>
        </w:rPr>
        <w:t>1</w:t>
      </w:r>
      <w:r>
        <w:rPr>
          <w:b/>
          <w:sz w:val="20"/>
          <w:szCs w:val="20"/>
          <w:lang w:val="en-US"/>
        </w:rPr>
        <w:t>a</w:t>
      </w:r>
      <w:bookmarkStart w:id="0" w:name="_GoBack"/>
      <w:bookmarkEnd w:id="0"/>
      <w:r w:rsidRPr="007D5BD3">
        <w:rPr>
          <w:b/>
          <w:sz w:val="20"/>
          <w:szCs w:val="20"/>
          <w:lang w:val="el-GR"/>
        </w:rPr>
        <w:t xml:space="preserve">: Πίνακας “Συμμόρφωση” Τεχνικής Προσφοράς για </w:t>
      </w:r>
      <w:r w:rsidRPr="007D5BD3">
        <w:rPr>
          <w:b/>
          <w:bCs/>
          <w:color w:val="000000"/>
          <w:sz w:val="20"/>
          <w:szCs w:val="20"/>
          <w:lang w:val="el-GR" w:eastAsia="el-GR"/>
        </w:rPr>
        <w:t xml:space="preserve">“Υπηρεσίες </w:t>
      </w:r>
      <w:proofErr w:type="spellStart"/>
      <w:r w:rsidRPr="007D5BD3">
        <w:rPr>
          <w:b/>
          <w:bCs/>
          <w:color w:val="000000"/>
          <w:sz w:val="20"/>
          <w:szCs w:val="20"/>
          <w:lang w:val="el-GR" w:eastAsia="el-GR"/>
        </w:rPr>
        <w:t>αλληλούχισης</w:t>
      </w:r>
      <w:proofErr w:type="spellEnd"/>
      <w:r w:rsidRPr="007D5BD3">
        <w:rPr>
          <w:b/>
          <w:bCs/>
          <w:color w:val="000000"/>
          <w:sz w:val="20"/>
          <w:szCs w:val="20"/>
          <w:lang w:val="el-GR" w:eastAsia="el-GR"/>
        </w:rPr>
        <w:t xml:space="preserve"> </w:t>
      </w:r>
      <w:r w:rsidRPr="00721A28">
        <w:rPr>
          <w:b/>
          <w:bCs/>
          <w:color w:val="000000"/>
          <w:sz w:val="20"/>
          <w:szCs w:val="20"/>
          <w:lang w:val="el-GR" w:eastAsia="el-GR"/>
        </w:rPr>
        <w:t>επόμενης γενιάς”: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739"/>
        <w:gridCol w:w="2686"/>
        <w:gridCol w:w="2686"/>
      </w:tblGrid>
      <w:tr w:rsidR="00A54E48" w:rsidRPr="007D5BD3" w:rsidTr="00A54E48">
        <w:trPr>
          <w:jc w:val="center"/>
        </w:trPr>
        <w:tc>
          <w:tcPr>
            <w:tcW w:w="743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5BD3">
              <w:rPr>
                <w:rFonts w:ascii="Calibri" w:hAnsi="Calibri" w:cs="Calibri"/>
                <w:b/>
                <w:color w:val="000000"/>
              </w:rPr>
              <w:t>Α/Α</w:t>
            </w:r>
          </w:p>
        </w:tc>
        <w:tc>
          <w:tcPr>
            <w:tcW w:w="3739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5BD3">
              <w:rPr>
                <w:rFonts w:ascii="Calibri" w:hAnsi="Calibri" w:cs="Calibri"/>
                <w:b/>
                <w:color w:val="000000"/>
              </w:rPr>
              <w:t>Τεχνικές προδιαγραφές</w:t>
            </w:r>
          </w:p>
        </w:tc>
        <w:tc>
          <w:tcPr>
            <w:tcW w:w="2686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2686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A54E48" w:rsidRPr="007D5BD3" w:rsidTr="00A54E48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7D5BD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Παροχή Υπηρεσιών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Γενιάς, από πιστοποιημένο, από τον οίκο </w:t>
            </w:r>
            <w:r w:rsidRPr="007D5BD3">
              <w:rPr>
                <w:sz w:val="20"/>
                <w:szCs w:val="20"/>
              </w:rPr>
              <w:t>Illumina</w:t>
            </w:r>
            <w:r w:rsidRPr="007D5BD3">
              <w:rPr>
                <w:sz w:val="20"/>
                <w:szCs w:val="20"/>
                <w:lang w:val="el-GR"/>
              </w:rPr>
              <w:t xml:space="preserve"> ή ανάλογο διεθνή οίκο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Γενιάς,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πάροχο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υπηρεσιών προσδιορισμού αλληλουχίας υψηλής απόδοσης, σε πλατφόρμα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D5BD3">
              <w:rPr>
                <w:sz w:val="20"/>
                <w:szCs w:val="20"/>
              </w:rPr>
              <w:t>lllumina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D5BD3">
              <w:rPr>
                <w:sz w:val="20"/>
                <w:szCs w:val="20"/>
              </w:rPr>
              <w:t>NovaSeq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6000 ή </w:t>
            </w:r>
            <w:r w:rsidRPr="007D5BD3">
              <w:rPr>
                <w:sz w:val="20"/>
                <w:szCs w:val="20"/>
              </w:rPr>
              <w:t>Illumina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D5BD3">
              <w:rPr>
                <w:sz w:val="20"/>
                <w:szCs w:val="20"/>
              </w:rPr>
              <w:t>MiSeq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ή αντίστοιχης τεχνολογίας (όπως θα προκύπτει από βεβαίωση πιστοποίησης του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παρόχου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υπηρεσίας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αλληλούχισης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από την κατασκευάστρια εταιρία - </w:t>
            </w:r>
            <w:r w:rsidRPr="007D5BD3">
              <w:rPr>
                <w:sz w:val="20"/>
                <w:szCs w:val="20"/>
              </w:rPr>
              <w:t>Illumina</w:t>
            </w:r>
            <w:r w:rsidRPr="007D5BD3">
              <w:rPr>
                <w:sz w:val="20"/>
                <w:szCs w:val="20"/>
                <w:lang w:val="el-GR"/>
              </w:rPr>
              <w:t xml:space="preserve"> ή αντίστοιχου τύπου), που περιλαμβάνει ανά δείγμα προς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>:</w:t>
            </w: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α) τον ποιοτικό και ποσοτικό έλεγχο του απομονωμένου </w:t>
            </w:r>
            <w:r w:rsidRPr="007D5BD3">
              <w:rPr>
                <w:sz w:val="20"/>
                <w:szCs w:val="20"/>
              </w:rPr>
              <w:t>DNA</w:t>
            </w:r>
            <w:r w:rsidRPr="007D5BD3">
              <w:rPr>
                <w:sz w:val="20"/>
                <w:szCs w:val="20"/>
                <w:lang w:val="el-GR"/>
              </w:rPr>
              <w:t>,</w:t>
            </w: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β) την προετοιμασία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γονιδιωματικών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βιβλιοθηκών, μέσω ενίσχυσης με </w:t>
            </w:r>
            <w:r w:rsidRPr="007D5BD3">
              <w:rPr>
                <w:sz w:val="20"/>
                <w:szCs w:val="20"/>
              </w:rPr>
              <w:t>PCR</w:t>
            </w:r>
            <w:r w:rsidRPr="007D5BD3">
              <w:rPr>
                <w:sz w:val="20"/>
                <w:szCs w:val="20"/>
                <w:lang w:val="el-GR"/>
              </w:rPr>
              <w:t xml:space="preserve"> για την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υπερμετάβλητη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περιοχή γονιδίων που δύναται να επιλέγει ο Επιστημονικά Υπεύθυνος του έργου, ανάλογα με τις ερευνητικές του ανάγκες και την σήμανση με ειδικές μοριακές ετικέτες για ταυτόχρονη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πολλαπλών δειγμάτων,</w:t>
            </w: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γ) την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αλληλούχηση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 των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γονιδιωματικών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βιβλιοθηκών με κάλυψη τουλάχιστον 50,000 </w:t>
            </w:r>
            <w:r w:rsidRPr="007D5BD3">
              <w:rPr>
                <w:sz w:val="20"/>
                <w:szCs w:val="20"/>
              </w:rPr>
              <w:t>reads</w:t>
            </w:r>
            <w:r w:rsidRPr="007D5BD3">
              <w:rPr>
                <w:sz w:val="20"/>
                <w:szCs w:val="20"/>
                <w:lang w:val="el-GR"/>
              </w:rPr>
              <w:t xml:space="preserve"> ανά δείγμα και δείκτη ποιότητας </w:t>
            </w:r>
            <w:r w:rsidRPr="007D5BD3">
              <w:rPr>
                <w:sz w:val="20"/>
                <w:szCs w:val="20"/>
              </w:rPr>
              <w:t>Q</w:t>
            </w:r>
            <w:r w:rsidRPr="007D5BD3">
              <w:rPr>
                <w:sz w:val="20"/>
                <w:szCs w:val="20"/>
                <w:lang w:val="el-GR"/>
              </w:rPr>
              <w:t xml:space="preserve">30 ≥ 75%. Η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, ακολουθεί την τεχνολογία </w:t>
            </w:r>
            <w:r w:rsidRPr="007D5BD3">
              <w:rPr>
                <w:sz w:val="20"/>
                <w:szCs w:val="20"/>
              </w:rPr>
              <w:t>Illumina</w:t>
            </w:r>
            <w:r w:rsidRPr="007D5BD3">
              <w:rPr>
                <w:sz w:val="20"/>
                <w:szCs w:val="20"/>
                <w:lang w:val="el-GR"/>
              </w:rPr>
              <w:t xml:space="preserve"> ή άλλης αντίστοιχης τεχνολογίας, είναι διπλής κατεύθυνσης για τμήματα 300 </w:t>
            </w:r>
            <w:r w:rsidRPr="007D5BD3">
              <w:rPr>
                <w:sz w:val="20"/>
                <w:szCs w:val="20"/>
              </w:rPr>
              <w:t>bp</w:t>
            </w:r>
            <w:r w:rsidRPr="007D5BD3">
              <w:rPr>
                <w:sz w:val="20"/>
                <w:szCs w:val="20"/>
                <w:lang w:val="el-GR"/>
              </w:rPr>
              <w:t xml:space="preserve"> ή 500 </w:t>
            </w:r>
            <w:r w:rsidRPr="007D5BD3">
              <w:rPr>
                <w:sz w:val="20"/>
                <w:szCs w:val="20"/>
              </w:rPr>
              <w:t>bp</w:t>
            </w:r>
            <w:r w:rsidRPr="007D5BD3">
              <w:rPr>
                <w:sz w:val="20"/>
                <w:szCs w:val="20"/>
                <w:lang w:val="el-GR"/>
              </w:rPr>
              <w:t xml:space="preserve"> ή 600 </w:t>
            </w:r>
            <w:r w:rsidRPr="007D5BD3">
              <w:rPr>
                <w:sz w:val="20"/>
                <w:szCs w:val="20"/>
              </w:rPr>
              <w:t>bp</w:t>
            </w:r>
            <w:r w:rsidRPr="007D5BD3">
              <w:rPr>
                <w:sz w:val="20"/>
                <w:szCs w:val="20"/>
                <w:lang w:val="el-GR"/>
              </w:rPr>
              <w:t>, τα οποία δύναται να επιλέγονται ανάλογα με τις εκάστοτε ερευνητικές ανάγκες του Ε.Υ.</w:t>
            </w: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δ) τη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βιοπληροφορική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ανάλυση των δεδομένων της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αλληλούχισης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 η οποία περιλαμβάνει </w:t>
            </w:r>
            <w:proofErr w:type="spellStart"/>
            <w:r w:rsidRPr="007D5BD3">
              <w:rPr>
                <w:sz w:val="20"/>
                <w:szCs w:val="20"/>
              </w:rPr>
              <w:t>i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) διαχωρισμό, συγχώνευση και ευθυγράμμιση των αλληλουχιών </w:t>
            </w:r>
            <w:r w:rsidRPr="007D5BD3">
              <w:rPr>
                <w:sz w:val="20"/>
                <w:szCs w:val="20"/>
              </w:rPr>
              <w:t>ii</w:t>
            </w:r>
            <w:r w:rsidRPr="007D5BD3">
              <w:rPr>
                <w:sz w:val="20"/>
                <w:szCs w:val="20"/>
                <w:lang w:val="el-GR"/>
              </w:rPr>
              <w:t xml:space="preserve">) ποιοτικό έλεγχο των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αλληλουχίων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(φιλτράρισμα δεδομένων και απομάκρυνση χιμαιρικών αλληλουχιών) </w:t>
            </w:r>
            <w:r w:rsidRPr="007D5BD3">
              <w:rPr>
                <w:sz w:val="20"/>
                <w:szCs w:val="20"/>
              </w:rPr>
              <w:t>iii</w:t>
            </w:r>
            <w:r w:rsidRPr="007D5BD3">
              <w:rPr>
                <w:sz w:val="20"/>
                <w:szCs w:val="20"/>
                <w:lang w:val="el-GR"/>
              </w:rPr>
              <w:t xml:space="preserve">) </w:t>
            </w:r>
            <w:r w:rsidRPr="007D5BD3">
              <w:rPr>
                <w:sz w:val="20"/>
                <w:szCs w:val="20"/>
              </w:rPr>
              <w:t>o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μαδοποίηση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αλληλουχιών σε λειτουργικές ταξινομικές ομάδες (</w:t>
            </w:r>
            <w:r w:rsidRPr="007D5BD3">
              <w:rPr>
                <w:sz w:val="20"/>
                <w:szCs w:val="20"/>
                <w:lang w:val="en-US"/>
              </w:rPr>
              <w:t>Operational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Taxonomic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Units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OTUs</w:t>
            </w:r>
            <w:r w:rsidRPr="007D5BD3">
              <w:rPr>
                <w:sz w:val="20"/>
                <w:szCs w:val="20"/>
                <w:lang w:val="el-GR"/>
              </w:rPr>
              <w:t xml:space="preserve">): θερμικός χάρτης των </w:t>
            </w:r>
            <w:r w:rsidRPr="007D5BD3">
              <w:rPr>
                <w:sz w:val="20"/>
                <w:szCs w:val="20"/>
                <w:lang w:val="en-US"/>
              </w:rPr>
              <w:t>OTUs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7D5BD3">
              <w:rPr>
                <w:sz w:val="20"/>
                <w:szCs w:val="20"/>
              </w:rPr>
              <w:t>GraPhlAn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απεικόνιση, δημιουργία φυλογενετικών δέντρων, απεικόνιση διαγραμμάτων </w:t>
            </w:r>
            <w:r w:rsidRPr="007D5BD3">
              <w:rPr>
                <w:sz w:val="20"/>
                <w:szCs w:val="20"/>
              </w:rPr>
              <w:t>KRONA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</w:rPr>
              <w:t>iv</w:t>
            </w:r>
            <w:r w:rsidRPr="007D5BD3">
              <w:rPr>
                <w:sz w:val="20"/>
                <w:szCs w:val="20"/>
                <w:lang w:val="el-GR"/>
              </w:rPr>
              <w:t xml:space="preserve">) κατανομή ειδών: τριαδικό διάγραμμα, θερμικός χάρτης αφθονίας των </w:t>
            </w:r>
            <w:r w:rsidRPr="007D5BD3">
              <w:rPr>
                <w:sz w:val="20"/>
                <w:szCs w:val="20"/>
                <w:lang w:val="el-GR"/>
              </w:rPr>
              <w:lastRenderedPageBreak/>
              <w:t xml:space="preserve">ειδών,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παρουσιάση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εξελεκτικών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δέντρων, </w:t>
            </w:r>
            <w:r w:rsidRPr="007D5BD3">
              <w:rPr>
                <w:sz w:val="20"/>
                <w:szCs w:val="20"/>
              </w:rPr>
              <w:t>v</w:t>
            </w:r>
            <w:r w:rsidRPr="007D5BD3">
              <w:rPr>
                <w:sz w:val="20"/>
                <w:szCs w:val="20"/>
                <w:lang w:val="el-GR"/>
              </w:rPr>
              <w:t>) ανάλυση άλφα-ποικιλομορφίας: πίνακας άλφα δεικτών (</w:t>
            </w:r>
            <w:r w:rsidRPr="007D5BD3">
              <w:rPr>
                <w:sz w:val="20"/>
                <w:szCs w:val="20"/>
                <w:lang w:val="en-US"/>
              </w:rPr>
              <w:t>Observed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species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Good</w:t>
            </w:r>
            <w:r w:rsidRPr="007D5BD3">
              <w:rPr>
                <w:sz w:val="20"/>
                <w:szCs w:val="20"/>
                <w:lang w:val="el-GR"/>
              </w:rPr>
              <w:t>'</w:t>
            </w:r>
            <w:r w:rsidRPr="007D5BD3">
              <w:rPr>
                <w:sz w:val="20"/>
                <w:szCs w:val="20"/>
                <w:lang w:val="en-US"/>
              </w:rPr>
              <w:t>s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coverage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Chao</w:t>
            </w:r>
            <w:r w:rsidRPr="007D5BD3">
              <w:rPr>
                <w:sz w:val="20"/>
                <w:szCs w:val="20"/>
                <w:lang w:val="el-GR"/>
              </w:rPr>
              <w:t xml:space="preserve">1, </w:t>
            </w:r>
            <w:r w:rsidRPr="007D5BD3">
              <w:rPr>
                <w:sz w:val="20"/>
                <w:szCs w:val="20"/>
                <w:lang w:val="en-US"/>
              </w:rPr>
              <w:t>ACE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Shannon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Simpson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</w:rPr>
              <w:t>PD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</w:rPr>
              <w:t>whole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</w:rPr>
              <w:t>tree</w:t>
            </w:r>
            <w:r w:rsidRPr="007D5BD3">
              <w:rPr>
                <w:sz w:val="20"/>
                <w:szCs w:val="20"/>
                <w:lang w:val="el-GR"/>
              </w:rPr>
              <w:t xml:space="preserve">), καμπύλες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ποικολομορφίας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των ειδών,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θηκόγραμμα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(</w:t>
            </w:r>
            <w:r w:rsidRPr="007D5BD3">
              <w:rPr>
                <w:sz w:val="20"/>
                <w:szCs w:val="20"/>
              </w:rPr>
              <w:t>boxplot</w:t>
            </w:r>
            <w:r w:rsidRPr="007D5BD3">
              <w:rPr>
                <w:sz w:val="20"/>
                <w:szCs w:val="20"/>
                <w:lang w:val="el-GR"/>
              </w:rPr>
              <w:t xml:space="preserve">) συσσώρευσης των ειδών, </w:t>
            </w:r>
            <w:r w:rsidRPr="007D5BD3">
              <w:rPr>
                <w:sz w:val="20"/>
                <w:szCs w:val="20"/>
              </w:rPr>
              <w:t>Venn</w:t>
            </w:r>
            <w:r w:rsidRPr="007D5BD3">
              <w:rPr>
                <w:sz w:val="20"/>
                <w:szCs w:val="20"/>
                <w:lang w:val="el-GR"/>
              </w:rPr>
              <w:t xml:space="preserve"> και </w:t>
            </w:r>
            <w:r w:rsidRPr="007D5BD3">
              <w:rPr>
                <w:sz w:val="20"/>
                <w:szCs w:val="20"/>
              </w:rPr>
              <w:t>Flower</w:t>
            </w:r>
            <w:r w:rsidRPr="007D5BD3">
              <w:rPr>
                <w:sz w:val="20"/>
                <w:szCs w:val="20"/>
                <w:lang w:val="el-GR"/>
              </w:rPr>
              <w:t xml:space="preserve"> διαγράμματα και </w:t>
            </w:r>
            <w:r w:rsidRPr="007D5BD3">
              <w:rPr>
                <w:sz w:val="20"/>
                <w:szCs w:val="20"/>
              </w:rPr>
              <w:t>vi</w:t>
            </w:r>
            <w:r w:rsidRPr="007D5BD3">
              <w:rPr>
                <w:sz w:val="20"/>
                <w:szCs w:val="20"/>
                <w:lang w:val="el-GR"/>
              </w:rPr>
              <w:t>) ανάλυση β-ποικιλομορφίας: θερμικός χάρτης β-ποικιλομορφίας, (</w:t>
            </w:r>
            <w:r w:rsidRPr="007D5BD3">
              <w:rPr>
                <w:sz w:val="20"/>
                <w:szCs w:val="20"/>
                <w:lang w:val="en-US"/>
              </w:rPr>
              <w:t>un</w:t>
            </w:r>
            <w:r w:rsidRPr="007D5BD3">
              <w:rPr>
                <w:sz w:val="20"/>
                <w:szCs w:val="20"/>
                <w:lang w:val="el-GR"/>
              </w:rPr>
              <w:t>)</w:t>
            </w:r>
            <w:r w:rsidRPr="007D5BD3">
              <w:rPr>
                <w:sz w:val="20"/>
                <w:szCs w:val="20"/>
                <w:lang w:val="en-US"/>
              </w:rPr>
              <w:t>weighted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7D5BD3">
              <w:rPr>
                <w:sz w:val="20"/>
                <w:szCs w:val="20"/>
                <w:lang w:val="en-US"/>
              </w:rPr>
              <w:t>unifrac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distance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analysis</w:t>
            </w:r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r w:rsidRPr="007D5BD3">
              <w:rPr>
                <w:sz w:val="20"/>
                <w:szCs w:val="20"/>
                <w:lang w:val="en-US"/>
              </w:rPr>
              <w:t>PCA</w:t>
            </w:r>
            <w:r w:rsidRPr="007D5BD3">
              <w:rPr>
                <w:sz w:val="20"/>
                <w:szCs w:val="20"/>
                <w:lang w:val="el-GR"/>
              </w:rPr>
              <w:t xml:space="preserve"> (</w:t>
            </w:r>
            <w:r w:rsidRPr="007D5BD3">
              <w:rPr>
                <w:sz w:val="20"/>
                <w:szCs w:val="20"/>
                <w:lang w:val="en-US"/>
              </w:rPr>
              <w:t>Principal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Component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Analysis</w:t>
            </w:r>
            <w:r w:rsidRPr="007D5BD3">
              <w:rPr>
                <w:sz w:val="20"/>
                <w:szCs w:val="20"/>
                <w:lang w:val="el-GR"/>
              </w:rPr>
              <w:t xml:space="preserve">), </w:t>
            </w:r>
            <w:proofErr w:type="spellStart"/>
            <w:r w:rsidRPr="007D5BD3">
              <w:rPr>
                <w:sz w:val="20"/>
                <w:szCs w:val="20"/>
                <w:lang w:val="en-US"/>
              </w:rPr>
              <w:t>PCoA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(</w:t>
            </w:r>
            <w:r w:rsidRPr="007D5BD3">
              <w:rPr>
                <w:sz w:val="20"/>
                <w:szCs w:val="20"/>
                <w:lang w:val="en-US"/>
              </w:rPr>
              <w:t>Principal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Co</w:t>
            </w:r>
            <w:r w:rsidRPr="007D5BD3">
              <w:rPr>
                <w:sz w:val="20"/>
                <w:szCs w:val="20"/>
                <w:lang w:val="el-GR"/>
              </w:rPr>
              <w:t>-</w:t>
            </w:r>
            <w:r w:rsidRPr="007D5BD3">
              <w:rPr>
                <w:sz w:val="20"/>
                <w:szCs w:val="20"/>
                <w:lang w:val="en-US"/>
              </w:rPr>
              <w:t>ordinates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Analysis</w:t>
            </w:r>
            <w:r w:rsidRPr="007D5BD3">
              <w:rPr>
                <w:sz w:val="20"/>
                <w:szCs w:val="20"/>
                <w:lang w:val="el-GR"/>
              </w:rPr>
              <w:t xml:space="preserve">), </w:t>
            </w:r>
            <w:r w:rsidRPr="007D5BD3">
              <w:rPr>
                <w:sz w:val="20"/>
                <w:szCs w:val="20"/>
                <w:lang w:val="en-US"/>
              </w:rPr>
              <w:t>UPGMA</w:t>
            </w:r>
            <w:r w:rsidRPr="007D5BD3">
              <w:rPr>
                <w:sz w:val="20"/>
                <w:szCs w:val="20"/>
                <w:lang w:val="el-GR"/>
              </w:rPr>
              <w:t xml:space="preserve"> (</w:t>
            </w:r>
            <w:r w:rsidRPr="007D5BD3">
              <w:rPr>
                <w:sz w:val="20"/>
                <w:szCs w:val="20"/>
                <w:lang w:val="en-US"/>
              </w:rPr>
              <w:t>Unweighted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Pair</w:t>
            </w:r>
            <w:r w:rsidRPr="007D5BD3">
              <w:rPr>
                <w:sz w:val="20"/>
                <w:szCs w:val="20"/>
                <w:lang w:val="el-GR"/>
              </w:rPr>
              <w:t>-</w:t>
            </w:r>
            <w:r w:rsidRPr="007D5BD3">
              <w:rPr>
                <w:sz w:val="20"/>
                <w:szCs w:val="20"/>
                <w:lang w:val="en-US"/>
              </w:rPr>
              <w:t>group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Method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with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Arithmetic</w:t>
            </w:r>
            <w:r w:rsidRPr="007D5BD3">
              <w:rPr>
                <w:sz w:val="20"/>
                <w:szCs w:val="20"/>
                <w:lang w:val="el-GR"/>
              </w:rPr>
              <w:t xml:space="preserve"> </w:t>
            </w:r>
            <w:r w:rsidRPr="007D5BD3">
              <w:rPr>
                <w:sz w:val="20"/>
                <w:szCs w:val="20"/>
                <w:lang w:val="en-US"/>
              </w:rPr>
              <w:t>Means</w:t>
            </w:r>
            <w:r w:rsidRPr="007D5BD3">
              <w:rPr>
                <w:sz w:val="20"/>
                <w:szCs w:val="20"/>
                <w:lang w:val="el-GR"/>
              </w:rPr>
              <w:t xml:space="preserve">), </w:t>
            </w:r>
            <w:proofErr w:type="spellStart"/>
            <w:r w:rsidRPr="007D5BD3">
              <w:rPr>
                <w:sz w:val="20"/>
                <w:szCs w:val="20"/>
                <w:lang w:val="en-US"/>
              </w:rPr>
              <w:t>MetaStat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, </w:t>
            </w:r>
            <w:proofErr w:type="spellStart"/>
            <w:r w:rsidRPr="007D5BD3">
              <w:rPr>
                <w:sz w:val="20"/>
                <w:szCs w:val="20"/>
                <w:lang w:val="en-US"/>
              </w:rPr>
              <w:t>LEfSe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ανάλυση.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lastRenderedPageBreak/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Pr="007D5BD3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54E48" w:rsidRPr="007D5BD3" w:rsidRDefault="00A54E48" w:rsidP="000B3600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A54E48" w:rsidRDefault="00A54E48" w:rsidP="00A54E48">
      <w:pPr>
        <w:tabs>
          <w:tab w:val="left" w:pos="3660"/>
          <w:tab w:val="left" w:pos="3690"/>
        </w:tabs>
        <w:spacing w:before="80" w:line="288" w:lineRule="auto"/>
        <w:rPr>
          <w:b/>
          <w:bCs/>
          <w:color w:val="000000"/>
          <w:sz w:val="20"/>
          <w:szCs w:val="20"/>
          <w:lang w:val="el-GR" w:eastAsia="el-GR"/>
        </w:rPr>
      </w:pPr>
    </w:p>
    <w:p w:rsidR="00A54E48" w:rsidRPr="00721A28" w:rsidRDefault="00A54E48" w:rsidP="00A54E48">
      <w:pPr>
        <w:tabs>
          <w:tab w:val="left" w:pos="3660"/>
          <w:tab w:val="left" w:pos="3690"/>
        </w:tabs>
        <w:spacing w:before="80" w:line="288" w:lineRule="auto"/>
        <w:rPr>
          <w:b/>
          <w:bCs/>
          <w:color w:val="000000"/>
          <w:sz w:val="20"/>
          <w:szCs w:val="20"/>
          <w:lang w:val="el-GR" w:eastAsia="el-GR"/>
        </w:rPr>
      </w:pPr>
      <w:r w:rsidRPr="00721A28">
        <w:rPr>
          <w:b/>
          <w:bCs/>
          <w:color w:val="000000"/>
          <w:sz w:val="20"/>
          <w:szCs w:val="20"/>
          <w:lang w:val="el-GR" w:eastAsia="el-GR"/>
        </w:rPr>
        <w:t xml:space="preserve">Πίνακας </w:t>
      </w:r>
      <w:r w:rsidRPr="00721A28">
        <w:rPr>
          <w:b/>
          <w:bCs/>
          <w:color w:val="000000"/>
          <w:sz w:val="20"/>
          <w:szCs w:val="20"/>
          <w:lang w:val="en-US" w:eastAsia="el-GR"/>
        </w:rPr>
        <w:t>I</w:t>
      </w:r>
      <w:r w:rsidRPr="00721A28">
        <w:rPr>
          <w:b/>
          <w:bCs/>
          <w:color w:val="000000"/>
          <w:sz w:val="20"/>
          <w:szCs w:val="20"/>
          <w:lang w:val="el-GR" w:eastAsia="el-GR"/>
        </w:rPr>
        <w:t xml:space="preserve">ΙΙ.1b: Πίνακας “Συμμόρφωσης” Τεχνικής Υποστήριξης “Υπηρεσίες </w:t>
      </w:r>
      <w:proofErr w:type="spellStart"/>
      <w:r w:rsidRPr="00721A28">
        <w:rPr>
          <w:b/>
          <w:bCs/>
          <w:color w:val="000000"/>
          <w:sz w:val="20"/>
          <w:szCs w:val="20"/>
          <w:lang w:val="el-GR" w:eastAsia="el-GR"/>
        </w:rPr>
        <w:t>αλληλούχισης</w:t>
      </w:r>
      <w:proofErr w:type="spellEnd"/>
      <w:r w:rsidRPr="00721A28">
        <w:rPr>
          <w:b/>
          <w:bCs/>
          <w:color w:val="000000"/>
          <w:sz w:val="20"/>
          <w:szCs w:val="20"/>
          <w:lang w:val="el-GR" w:eastAsia="el-GR"/>
        </w:rPr>
        <w:t xml:space="preserve"> επόμενης γενιάς”: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3739"/>
        <w:gridCol w:w="2686"/>
        <w:gridCol w:w="2686"/>
      </w:tblGrid>
      <w:tr w:rsidR="00A54E48" w:rsidRPr="007D5BD3" w:rsidTr="00A54E48">
        <w:trPr>
          <w:jc w:val="center"/>
        </w:trPr>
        <w:tc>
          <w:tcPr>
            <w:tcW w:w="743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5BD3">
              <w:rPr>
                <w:rFonts w:ascii="Calibri" w:hAnsi="Calibri" w:cs="Calibri"/>
                <w:b/>
                <w:color w:val="000000"/>
              </w:rPr>
              <w:t>Α/Α</w:t>
            </w:r>
          </w:p>
        </w:tc>
        <w:tc>
          <w:tcPr>
            <w:tcW w:w="3739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5BD3">
              <w:rPr>
                <w:rFonts w:ascii="Calibri" w:hAnsi="Calibri" w:cs="Calibri"/>
                <w:b/>
                <w:color w:val="000000"/>
              </w:rPr>
              <w:t>Τεχνική Υποστήριξη</w:t>
            </w:r>
          </w:p>
        </w:tc>
        <w:tc>
          <w:tcPr>
            <w:tcW w:w="2686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ΝΑΙ - ΟΧΙ</w:t>
            </w:r>
          </w:p>
        </w:tc>
        <w:tc>
          <w:tcPr>
            <w:tcW w:w="2686" w:type="dxa"/>
            <w:shd w:val="clear" w:color="auto" w:fill="F7CAAC"/>
            <w:vAlign w:val="center"/>
          </w:tcPr>
          <w:p w:rsidR="00A54E48" w:rsidRPr="007D5BD3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ΠΑΡΑΠΟΜΠΗ</w:t>
            </w:r>
          </w:p>
        </w:tc>
      </w:tr>
      <w:tr w:rsidR="00A54E48" w:rsidRPr="007D5BD3" w:rsidTr="00A54E48">
        <w:trPr>
          <w:jc w:val="center"/>
        </w:trPr>
        <w:tc>
          <w:tcPr>
            <w:tcW w:w="743" w:type="dxa"/>
            <w:shd w:val="clear" w:color="auto" w:fill="auto"/>
            <w:vAlign w:val="center"/>
          </w:tcPr>
          <w:p w:rsidR="00A54E48" w:rsidRPr="007D5BD3" w:rsidRDefault="00A54E48" w:rsidP="000B3600">
            <w:pPr>
              <w:pStyle w:val="MediumGrid1-Accent21"/>
              <w:tabs>
                <w:tab w:val="left" w:pos="-7797"/>
              </w:tabs>
              <w:spacing w:line="288" w:lineRule="auto"/>
              <w:ind w:left="0"/>
              <w:jc w:val="center"/>
              <w:rPr>
                <w:rFonts w:ascii="Calibri" w:hAnsi="Calibri" w:cs="Calibri"/>
                <w:color w:val="000000"/>
              </w:rPr>
            </w:pPr>
            <w:r w:rsidRPr="007D5BD3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739" w:type="dxa"/>
            <w:shd w:val="clear" w:color="auto" w:fill="auto"/>
          </w:tcPr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rFonts w:eastAsia="SimSun"/>
                <w:kern w:val="1"/>
                <w:sz w:val="20"/>
                <w:szCs w:val="20"/>
                <w:lang w:val="el-GR" w:eastAsia="ar-SA"/>
              </w:rPr>
              <w:t>Η παροχή των υπηρεσιών, θα γίνεται τμηματικά, ανάλογα με τις ανάγκες του έργου, μετά από εντολή του Επιστημονικά Υπευθύνου, ήτοι</w:t>
            </w:r>
            <w:r w:rsidRPr="007D5BD3">
              <w:rPr>
                <w:sz w:val="20"/>
                <w:szCs w:val="20"/>
                <w:lang w:val="el-GR"/>
              </w:rPr>
              <w:t xml:space="preserve"> θα υλοποιείται σε χρόνο και για ποσότητες δειγμάτων που θα καθορίζει ο Επιστημονικά Υπεύθυνος του έργου, εντός της χρονικής διάρκειας υλοποίησης αυτού, ανάλογα με τις ανάγκες του ερευνητικού αυτού έργου.</w:t>
            </w:r>
          </w:p>
          <w:p w:rsidR="00A54E48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Η παραλαβή των προς ανάλυση δειγμάτων θα γίνεται με ειδικά διαπιστευμένο για την μεταφορά βιολογικού υλικού,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ταχυμεταφορέα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από την Πανεπιστημιούπολη του ΔΠΘ στην Ξάνθη, την οποία θα αναλάβει εξ ολοκλήρου ο ανάδοχος χωρίς επιπλέον οικονομική επιβάρυνση.</w:t>
            </w:r>
          </w:p>
          <w:p w:rsidR="00A54E48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</w:p>
          <w:p w:rsidR="00A54E48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Ο ανάδοχος υποχρεούται να παραδώσει τις υπηρεσίες εντός τριάντα (30) ημερών από την παραγγελία του Επιστημονικά Υπευθύνου. </w:t>
            </w:r>
          </w:p>
          <w:p w:rsidR="00A54E48" w:rsidRPr="007D5BD3" w:rsidRDefault="00A54E48" w:rsidP="000B3600">
            <w:pPr>
              <w:spacing w:after="0"/>
              <w:rPr>
                <w:sz w:val="20"/>
                <w:szCs w:val="20"/>
                <w:lang w:val="el-GR"/>
              </w:rPr>
            </w:pPr>
          </w:p>
          <w:p w:rsidR="00A54E48" w:rsidRPr="007D5BD3" w:rsidRDefault="00A54E48" w:rsidP="000B3600">
            <w:pPr>
              <w:spacing w:after="0"/>
              <w:rPr>
                <w:color w:val="000000"/>
                <w:sz w:val="20"/>
                <w:szCs w:val="20"/>
                <w:lang w:val="el-GR"/>
              </w:rPr>
            </w:pPr>
            <w:r w:rsidRPr="007D5BD3">
              <w:rPr>
                <w:sz w:val="20"/>
                <w:szCs w:val="20"/>
                <w:lang w:val="el-GR"/>
              </w:rPr>
              <w:t xml:space="preserve">Συνολικά, στο πλαίσιο αυτής της παροχής υπηρεσίας θα πραγματοποιηθούν από τον ανάδοχο 450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αλληλουχίσεις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γενιάς, ήτοι θα γίνει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αλληλούχιση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επόμενης γενιάς σε 450 δείγματα </w:t>
            </w:r>
            <w:proofErr w:type="spellStart"/>
            <w:r w:rsidRPr="007D5BD3">
              <w:rPr>
                <w:sz w:val="20"/>
                <w:szCs w:val="20"/>
                <w:lang w:val="el-GR"/>
              </w:rPr>
              <w:t>γενωμικού</w:t>
            </w:r>
            <w:proofErr w:type="spellEnd"/>
            <w:r w:rsidRPr="007D5BD3">
              <w:rPr>
                <w:sz w:val="20"/>
                <w:szCs w:val="20"/>
                <w:lang w:val="el-GR"/>
              </w:rPr>
              <w:t xml:space="preserve"> DNA, βάσει των παραπάνω όρων και τεχνικών προδιαγραφών.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7D5BD3"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  <w:t>□ □</w:t>
            </w: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Default="00A54E48" w:rsidP="000B3600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  <w:p w:rsidR="00A54E48" w:rsidRPr="007D5BD3" w:rsidRDefault="00A54E48" w:rsidP="000B3600">
            <w:pPr>
              <w:spacing w:after="0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 w:rsidR="00A54E48" w:rsidRPr="007D5BD3" w:rsidRDefault="00A54E48" w:rsidP="000B3600">
            <w:pPr>
              <w:spacing w:after="0"/>
              <w:jc w:val="left"/>
              <w:rPr>
                <w:b/>
                <w:bCs/>
                <w:color w:val="000000"/>
                <w:sz w:val="20"/>
                <w:szCs w:val="20"/>
                <w:lang w:val="el-GR" w:eastAsia="el-GR"/>
              </w:rPr>
            </w:pPr>
          </w:p>
        </w:tc>
      </w:tr>
    </w:tbl>
    <w:p w:rsidR="00A54E48" w:rsidRPr="007D5BD3" w:rsidRDefault="00A54E48" w:rsidP="00A54E48">
      <w:pPr>
        <w:tabs>
          <w:tab w:val="left" w:pos="3660"/>
          <w:tab w:val="left" w:pos="3690"/>
        </w:tabs>
        <w:spacing w:before="80" w:line="288" w:lineRule="auto"/>
        <w:rPr>
          <w:b/>
          <w:bCs/>
          <w:color w:val="000000"/>
          <w:sz w:val="20"/>
          <w:szCs w:val="20"/>
          <w:lang w:val="el-GR" w:eastAsia="el-GR"/>
        </w:rPr>
      </w:pPr>
    </w:p>
    <w:p w:rsidR="00A54E48" w:rsidRDefault="00A54E48" w:rsidP="00A54E48">
      <w:pPr>
        <w:tabs>
          <w:tab w:val="left" w:pos="3660"/>
          <w:tab w:val="left" w:pos="3690"/>
        </w:tabs>
        <w:spacing w:before="80" w:line="288" w:lineRule="auto"/>
        <w:rPr>
          <w:b/>
          <w:bCs/>
          <w:color w:val="000000"/>
          <w:sz w:val="20"/>
          <w:szCs w:val="20"/>
          <w:lang w:val="el-GR" w:eastAsia="el-GR"/>
        </w:rPr>
      </w:pPr>
    </w:p>
    <w:p w:rsidR="00C64CDC" w:rsidRDefault="00C64CDC"/>
    <w:sectPr w:rsidR="00C64C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48"/>
    <w:rsid w:val="00A54E48"/>
    <w:rsid w:val="00C6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7792"/>
  <w15:chartTrackingRefBased/>
  <w15:docId w15:val="{8408C164-01F3-4997-A6DF-13662FC8D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54E48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ediumGrid1-Accent21">
    <w:name w:val="Medium Grid 1 - Accent 21"/>
    <w:basedOn w:val="a"/>
    <w:uiPriority w:val="34"/>
    <w:qFormat/>
    <w:rsid w:val="00A54E48"/>
    <w:pPr>
      <w:spacing w:after="0" w:line="100" w:lineRule="atLeast"/>
      <w:ind w:left="720"/>
      <w:jc w:val="left"/>
      <w:textAlignment w:val="baseline"/>
    </w:pPr>
    <w:rPr>
      <w:rFonts w:ascii="Times New Roman" w:eastAsia="SimSun" w:hAnsi="Times New Roman" w:cs="Times New Roman"/>
      <w:sz w:val="20"/>
      <w:szCs w:val="20"/>
      <w:lang w:val="el-G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Μπουρδούνης</dc:creator>
  <cp:keywords/>
  <dc:description/>
  <cp:lastModifiedBy>Ιωάννης Μπουρδούνης</cp:lastModifiedBy>
  <cp:revision>1</cp:revision>
  <dcterms:created xsi:type="dcterms:W3CDTF">2022-11-22T07:21:00Z</dcterms:created>
  <dcterms:modified xsi:type="dcterms:W3CDTF">2022-11-22T07:22:00Z</dcterms:modified>
</cp:coreProperties>
</file>