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F7A" w:rsidRPr="006B2C94" w:rsidRDefault="00E24F7A" w:rsidP="00E24F7A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181173727"/>
      <w:r>
        <w:rPr>
          <w:rFonts w:ascii="Calibri" w:hAnsi="Calibri"/>
          <w:lang w:val="el-GR"/>
        </w:rPr>
        <w:t xml:space="preserve">ΠΑΡΑΡΤΗΜΑ VI – </w:t>
      </w:r>
      <w:r w:rsidRPr="00DF40E5">
        <w:rPr>
          <w:rFonts w:ascii="Calibri" w:hAnsi="Calibri"/>
          <w:color w:val="auto"/>
          <w:szCs w:val="24"/>
          <w:lang w:val="el-GR"/>
        </w:rPr>
        <w:t>Στοιχεία Τεχνικής Προσφοράς -Τεχνικές Προδιαγραφές - Πίνακες Συμμόρφωσης</w:t>
      </w:r>
      <w:bookmarkEnd w:id="0"/>
      <w:r>
        <w:rPr>
          <w:rFonts w:ascii="Calibri" w:hAnsi="Calibri"/>
          <w:lang w:val="el-GR"/>
        </w:rPr>
        <w:t xml:space="preserve"> </w:t>
      </w:r>
    </w:p>
    <w:p w:rsidR="00E24F7A" w:rsidRPr="00A902EB" w:rsidRDefault="00E24F7A" w:rsidP="00E24F7A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425" w:hanging="425"/>
        <w:rPr>
          <w:rFonts w:ascii="Calibri" w:hAnsi="Calibri" w:cs="Calibri"/>
          <w:color w:val="auto"/>
          <w:sz w:val="22"/>
          <w:lang w:val="el-GR"/>
        </w:rPr>
      </w:pPr>
      <w:bookmarkStart w:id="1" w:name="_Toc501121896"/>
      <w:bookmarkStart w:id="2" w:name="_Toc14681078"/>
      <w:bookmarkStart w:id="3" w:name="_Toc181173728"/>
      <w:r w:rsidRPr="00A902EB">
        <w:rPr>
          <w:rFonts w:ascii="Calibri" w:hAnsi="Calibri" w:cs="Calibri"/>
          <w:color w:val="auto"/>
          <w:sz w:val="22"/>
          <w:lang w:val="el-GR"/>
        </w:rPr>
        <w:t>ΙΙ.1 Αναλυτική Περιγραφή &amp; Τεχνικές Προδιαγραφές των προς Προμήθεια Γενικών Υπηρεσιών</w:t>
      </w:r>
      <w:bookmarkEnd w:id="1"/>
      <w:bookmarkEnd w:id="2"/>
      <w:bookmarkEnd w:id="3"/>
      <w:r w:rsidRPr="00A902EB">
        <w:rPr>
          <w:rFonts w:ascii="Calibri" w:hAnsi="Calibri" w:cs="Calibri"/>
          <w:color w:val="auto"/>
          <w:sz w:val="22"/>
          <w:lang w:val="el-GR"/>
        </w:rPr>
        <w:t xml:space="preserve"> </w:t>
      </w:r>
    </w:p>
    <w:p w:rsidR="00E24F7A" w:rsidRPr="00902B1B" w:rsidRDefault="00E24F7A" w:rsidP="00E24F7A">
      <w:pPr>
        <w:tabs>
          <w:tab w:val="left" w:pos="3660"/>
          <w:tab w:val="left" w:pos="3690"/>
        </w:tabs>
        <w:spacing w:before="80" w:line="288" w:lineRule="auto"/>
        <w:ind w:firstLine="425"/>
        <w:rPr>
          <w:b/>
          <w:szCs w:val="22"/>
          <w:lang w:val="el-GR"/>
        </w:rPr>
      </w:pPr>
      <w:r w:rsidRPr="00902B1B">
        <w:rPr>
          <w:b/>
          <w:szCs w:val="22"/>
          <w:lang w:val="el-GR"/>
        </w:rPr>
        <w:t xml:space="preserve">Τα απαιτούμενα τεχνικά χαρακτηριστικά αποτελούν τις ελάχιστες απαιτήσεις από τις προς προμήθεια υπηρεσίες και η μη εξολοκλήρου κάλυψή τους θα αποτελέσει λόγο απόρριψης της προσφοράς, τα οποία έχουν διαμορφωθεί αποκλειστικά με μέριμνα και ευθύνη του Επιστημονικά Υπεύθυνου (Ε.Υ.). </w:t>
      </w:r>
    </w:p>
    <w:p w:rsidR="00E24F7A" w:rsidRDefault="00E24F7A" w:rsidP="00E24F7A">
      <w:pPr>
        <w:rPr>
          <w:lang w:val="el-GR"/>
        </w:rPr>
      </w:pPr>
    </w:p>
    <w:p w:rsidR="00E24F7A" w:rsidRPr="00E00E2F" w:rsidRDefault="00E24F7A" w:rsidP="00E24F7A">
      <w:pPr>
        <w:rPr>
          <w:lang w:val="el-GR"/>
        </w:rPr>
      </w:pPr>
    </w:p>
    <w:p w:rsidR="00E24F7A" w:rsidRPr="00E24F7A" w:rsidRDefault="00E24F7A" w:rsidP="00E24F7A">
      <w:pPr>
        <w:spacing w:line="288" w:lineRule="auto"/>
        <w:jc w:val="center"/>
        <w:rPr>
          <w:b/>
          <w:color w:val="000000"/>
          <w:szCs w:val="2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4F7A">
        <w:rPr>
          <w:b/>
          <w:color w:val="000000"/>
          <w:szCs w:val="22"/>
          <w:u w:val="single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Υπηρεσία 1:</w:t>
      </w:r>
      <w:r w:rsidRPr="00E24F7A">
        <w:rPr>
          <w:b/>
          <w:color w:val="000000"/>
          <w:szCs w:val="2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“</w:t>
      </w:r>
      <w:r>
        <w:rPr>
          <w:color w:val="000000"/>
          <w:szCs w:val="22"/>
          <w:lang w:val="el-GR"/>
        </w:rPr>
        <w:t xml:space="preserve"> </w:t>
      </w:r>
      <w:r w:rsidRPr="00E24F7A">
        <w:rPr>
          <w:color w:val="000000"/>
          <w:szCs w:val="2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Εμπειρογνωμοσύνη - τεχνική υποστήριξη υλοποίησης του έργου </w:t>
      </w:r>
      <w:proofErr w:type="spellStart"/>
      <w:r w:rsidRPr="00E24F7A">
        <w:rPr>
          <w:color w:val="000000"/>
          <w:szCs w:val="2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EfxINNOs</w:t>
      </w:r>
      <w:proofErr w:type="spellEnd"/>
      <w:r w:rsidRPr="00E24F7A">
        <w:rPr>
          <w:color w:val="000000"/>
          <w:szCs w:val="2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:rsidR="00E24F7A" w:rsidRDefault="00E24F7A" w:rsidP="00E24F7A">
      <w:pPr>
        <w:spacing w:line="288" w:lineRule="auto"/>
        <w:jc w:val="center"/>
        <w:rPr>
          <w:color w:val="000000"/>
          <w:szCs w:val="22"/>
          <w:lang w:val="el-GR"/>
        </w:rPr>
      </w:pPr>
      <w:r w:rsidRPr="00E24F7A">
        <w:rPr>
          <w:color w:val="000000"/>
          <w:szCs w:val="2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[</w:t>
      </w:r>
      <w:proofErr w:type="spellStart"/>
      <w:r w:rsidRPr="00E24F7A">
        <w:rPr>
          <w:color w:val="000000"/>
          <w:szCs w:val="2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προϋπολογιζομένη</w:t>
      </w:r>
      <w:proofErr w:type="spellEnd"/>
      <w:r w:rsidRPr="00E24F7A">
        <w:rPr>
          <w:color w:val="000000"/>
          <w:szCs w:val="2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δαπάνη 120.967,74€  (πλέον του Φ.Π.Α.)]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1403"/>
        <w:gridCol w:w="5415"/>
        <w:gridCol w:w="1560"/>
      </w:tblGrid>
      <w:tr w:rsidR="00E24F7A" w:rsidTr="00E24F7A">
        <w:tc>
          <w:tcPr>
            <w:tcW w:w="548" w:type="dxa"/>
            <w:vAlign w:val="center"/>
          </w:tcPr>
          <w:p w:rsidR="00E24F7A" w:rsidRDefault="00E24F7A" w:rsidP="00B02223">
            <w:pPr>
              <w:widowControl w:val="0"/>
              <w:spacing w:before="80" w:after="8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α/α</w:t>
            </w:r>
          </w:p>
        </w:tc>
        <w:tc>
          <w:tcPr>
            <w:tcW w:w="1403" w:type="dxa"/>
            <w:vAlign w:val="center"/>
          </w:tcPr>
          <w:p w:rsidR="00E24F7A" w:rsidRDefault="00E24F7A" w:rsidP="00B02223">
            <w:pPr>
              <w:widowControl w:val="0"/>
              <w:spacing w:line="288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>
              <w:rPr>
                <w:color w:val="000000"/>
                <w:sz w:val="20"/>
                <w:szCs w:val="20"/>
                <w:lang w:val="el-GR" w:eastAsia="el-GR"/>
              </w:rPr>
              <w:t>Κωδικός</w:t>
            </w:r>
          </w:p>
          <w:p w:rsidR="00E24F7A" w:rsidRDefault="00E24F7A" w:rsidP="00B02223">
            <w:pPr>
              <w:widowControl w:val="0"/>
              <w:spacing w:line="288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>
              <w:rPr>
                <w:color w:val="000000"/>
                <w:sz w:val="20"/>
                <w:szCs w:val="20"/>
                <w:lang w:val="en-US" w:eastAsia="el-GR"/>
              </w:rPr>
              <w:t xml:space="preserve">CPV </w:t>
            </w:r>
            <w:r>
              <w:rPr>
                <w:rStyle w:val="WW-FootnoteReference15"/>
                <w:color w:val="000000"/>
                <w:sz w:val="20"/>
                <w:szCs w:val="20"/>
                <w:lang w:val="el-GR"/>
              </w:rPr>
              <w:footnoteReference w:id="1"/>
            </w:r>
          </w:p>
          <w:p w:rsidR="00E24F7A" w:rsidRDefault="00E24F7A" w:rsidP="00B02223">
            <w:pPr>
              <w:widowControl w:val="0"/>
              <w:spacing w:line="288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5415" w:type="dxa"/>
            <w:vAlign w:val="center"/>
          </w:tcPr>
          <w:p w:rsidR="00E24F7A" w:rsidRDefault="00E24F7A" w:rsidP="00B02223">
            <w:pPr>
              <w:widowControl w:val="0"/>
              <w:spacing w:before="80" w:after="80" w:line="288" w:lineRule="auto"/>
              <w:ind w:left="1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Περιγρ</w:t>
            </w:r>
            <w:proofErr w:type="spellEnd"/>
            <w:r>
              <w:rPr>
                <w:color w:val="000000"/>
                <w:sz w:val="20"/>
                <w:szCs w:val="20"/>
              </w:rPr>
              <w:t>αφή</w:t>
            </w:r>
          </w:p>
        </w:tc>
        <w:tc>
          <w:tcPr>
            <w:tcW w:w="1560" w:type="dxa"/>
            <w:vAlign w:val="center"/>
          </w:tcPr>
          <w:p w:rsidR="00E24F7A" w:rsidRDefault="00E24F7A" w:rsidP="00B02223">
            <w:pPr>
              <w:widowControl w:val="0"/>
              <w:spacing w:before="80" w:after="80" w:line="288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Ποσ</w:t>
            </w:r>
            <w:r>
              <w:rPr>
                <w:color w:val="000000"/>
                <w:sz w:val="20"/>
                <w:szCs w:val="20"/>
                <w:lang w:val="el-GR"/>
              </w:rPr>
              <w:t>ότητα</w:t>
            </w:r>
            <w:proofErr w:type="spellEnd"/>
          </w:p>
        </w:tc>
      </w:tr>
      <w:tr w:rsidR="00E24F7A" w:rsidTr="00E24F7A">
        <w:tc>
          <w:tcPr>
            <w:tcW w:w="548" w:type="dxa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1</w:t>
            </w:r>
          </w:p>
        </w:tc>
        <w:tc>
          <w:tcPr>
            <w:tcW w:w="1403" w:type="dxa"/>
            <w:vAlign w:val="center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</w:rPr>
              <w:t>79411100-9</w:t>
            </w:r>
          </w:p>
        </w:tc>
        <w:tc>
          <w:tcPr>
            <w:tcW w:w="5415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Υ1.1: Παροχή τεχνικής υποστήριξης στη διαχείριση του έργου.</w:t>
            </w:r>
          </w:p>
        </w:tc>
        <w:tc>
          <w:tcPr>
            <w:tcW w:w="156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8</w:t>
            </w:r>
          </w:p>
        </w:tc>
      </w:tr>
      <w:tr w:rsidR="00E24F7A" w:rsidTr="00E24F7A">
        <w:tc>
          <w:tcPr>
            <w:tcW w:w="548" w:type="dxa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2</w:t>
            </w:r>
          </w:p>
        </w:tc>
        <w:tc>
          <w:tcPr>
            <w:tcW w:w="1403" w:type="dxa"/>
            <w:vAlign w:val="center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</w:rPr>
              <w:t>79411100-9</w:t>
            </w:r>
          </w:p>
        </w:tc>
        <w:tc>
          <w:tcPr>
            <w:tcW w:w="5415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strike/>
                <w:color w:val="000000"/>
                <w:sz w:val="20"/>
                <w:szCs w:val="20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Υ1.2: Παροχή διοικητικής υποστήριξης διαχείριση του έργου.</w:t>
            </w:r>
          </w:p>
        </w:tc>
        <w:tc>
          <w:tcPr>
            <w:tcW w:w="156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8</w:t>
            </w:r>
          </w:p>
        </w:tc>
      </w:tr>
      <w:tr w:rsidR="00E24F7A" w:rsidTr="00E24F7A">
        <w:tc>
          <w:tcPr>
            <w:tcW w:w="548" w:type="dxa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3</w:t>
            </w:r>
          </w:p>
        </w:tc>
        <w:tc>
          <w:tcPr>
            <w:tcW w:w="1403" w:type="dxa"/>
            <w:vAlign w:val="center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</w:rPr>
              <w:t>79411100-9</w:t>
            </w:r>
          </w:p>
        </w:tc>
        <w:tc>
          <w:tcPr>
            <w:tcW w:w="5415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strike/>
                <w:color w:val="000000"/>
                <w:sz w:val="20"/>
                <w:szCs w:val="20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Υ1.3: Παροχή υποστήριξης υλοποίησης του οικονομικού αντικειμένου του έργου.</w:t>
            </w:r>
          </w:p>
        </w:tc>
        <w:tc>
          <w:tcPr>
            <w:tcW w:w="156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8</w:t>
            </w:r>
          </w:p>
        </w:tc>
      </w:tr>
      <w:tr w:rsidR="00E24F7A" w:rsidTr="00E24F7A">
        <w:tc>
          <w:tcPr>
            <w:tcW w:w="548" w:type="dxa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4</w:t>
            </w:r>
          </w:p>
        </w:tc>
        <w:tc>
          <w:tcPr>
            <w:tcW w:w="1403" w:type="dxa"/>
            <w:vAlign w:val="center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</w:rPr>
              <w:t>79411100-9</w:t>
            </w:r>
          </w:p>
        </w:tc>
        <w:tc>
          <w:tcPr>
            <w:tcW w:w="5415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strike/>
                <w:color w:val="000000"/>
                <w:sz w:val="20"/>
                <w:szCs w:val="20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Υ1.4: Παροχή τεχνικής υποστήριξης διασφάλισης ποιότητας υλοποίησης του έργου.</w:t>
            </w:r>
          </w:p>
        </w:tc>
        <w:tc>
          <w:tcPr>
            <w:tcW w:w="156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1</w:t>
            </w:r>
          </w:p>
        </w:tc>
      </w:tr>
      <w:tr w:rsidR="00E24F7A" w:rsidTr="00E24F7A">
        <w:tc>
          <w:tcPr>
            <w:tcW w:w="548" w:type="dxa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5</w:t>
            </w:r>
          </w:p>
        </w:tc>
        <w:tc>
          <w:tcPr>
            <w:tcW w:w="1403" w:type="dxa"/>
            <w:vAlign w:val="center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</w:rPr>
              <w:t>79411100-9</w:t>
            </w:r>
          </w:p>
        </w:tc>
        <w:tc>
          <w:tcPr>
            <w:tcW w:w="5415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strike/>
                <w:color w:val="000000"/>
                <w:sz w:val="20"/>
                <w:szCs w:val="20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Υ1.5: Παροχή τεχνικής υποστήριξης επικοινωνίας του έργου.</w:t>
            </w:r>
          </w:p>
        </w:tc>
        <w:tc>
          <w:tcPr>
            <w:tcW w:w="156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5 (1+4)</w:t>
            </w:r>
          </w:p>
        </w:tc>
      </w:tr>
      <w:tr w:rsidR="00E24F7A" w:rsidTr="00E24F7A">
        <w:tc>
          <w:tcPr>
            <w:tcW w:w="548" w:type="dxa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6</w:t>
            </w:r>
          </w:p>
        </w:tc>
        <w:tc>
          <w:tcPr>
            <w:tcW w:w="1403" w:type="dxa"/>
            <w:vAlign w:val="center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</w:rPr>
              <w:t>79411100-9</w:t>
            </w:r>
          </w:p>
        </w:tc>
        <w:tc>
          <w:tcPr>
            <w:tcW w:w="5415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strike/>
                <w:color w:val="000000"/>
                <w:sz w:val="20"/>
                <w:szCs w:val="20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Υ1.6: Παροχή τεχνικής υποστήριξης παρουσίας του έργου σε κοινωνικά δίκτυα.</w:t>
            </w:r>
          </w:p>
        </w:tc>
        <w:tc>
          <w:tcPr>
            <w:tcW w:w="156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5 (1+4)</w:t>
            </w:r>
          </w:p>
        </w:tc>
      </w:tr>
      <w:tr w:rsidR="00E24F7A" w:rsidTr="00E24F7A">
        <w:trPr>
          <w:trHeight w:val="3107"/>
        </w:trPr>
        <w:tc>
          <w:tcPr>
            <w:tcW w:w="7366" w:type="dxa"/>
            <w:gridSpan w:val="3"/>
            <w:vAlign w:val="center"/>
          </w:tcPr>
          <w:p w:rsidR="00E24F7A" w:rsidRPr="002D4F7D" w:rsidRDefault="00E24F7A" w:rsidP="00B02223">
            <w:pPr>
              <w:widowControl w:val="0"/>
              <w:spacing w:before="40" w:after="40" w:line="288" w:lineRule="auto"/>
              <w:ind w:left="1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lastRenderedPageBreak/>
              <w:t>Υ2.1: Διαχείριση και ανάλυση δεδομένων με Υπεύθυνο Μηχανικό Περιβάλλοντος (</w:t>
            </w:r>
            <w:proofErr w:type="spellStart"/>
            <w:r>
              <w:rPr>
                <w:rFonts w:eastAsia="SimSun"/>
                <w:color w:val="000000"/>
                <w:szCs w:val="22"/>
                <w:lang w:val="el-GR"/>
              </w:rPr>
              <w:t>phD</w:t>
            </w:r>
            <w:proofErr w:type="spellEnd"/>
            <w:r>
              <w:rPr>
                <w:rFonts w:eastAsia="SimSun"/>
                <w:color w:val="000000"/>
                <w:szCs w:val="22"/>
                <w:lang w:val="el-GR"/>
              </w:rPr>
              <w:t>).</w:t>
            </w:r>
          </w:p>
          <w:p w:rsidR="00E24F7A" w:rsidRPr="002D4F7D" w:rsidRDefault="00E24F7A" w:rsidP="00B02223">
            <w:pPr>
              <w:widowControl w:val="0"/>
              <w:spacing w:before="40" w:after="40" w:line="288" w:lineRule="auto"/>
              <w:ind w:left="1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Υ2.2: Έρευνα, συλλογή και βασική διαχείριση δεδομένων με Μηχανικό Περιβάλλοντος.</w:t>
            </w:r>
          </w:p>
          <w:p w:rsidR="00E24F7A" w:rsidRPr="002D4F7D" w:rsidRDefault="00E24F7A" w:rsidP="00B02223">
            <w:pPr>
              <w:widowControl w:val="0"/>
              <w:spacing w:before="40" w:after="40" w:line="288" w:lineRule="auto"/>
              <w:ind w:left="1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Υ2.3: Ανάλυση δεδομένων με Γεωγραφικά Πληροφοριακά Συστήματα και Μηχανική Μάθηση, με επιστήμονα πληροφορικής.</w:t>
            </w:r>
          </w:p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jc w:val="center"/>
              <w:rPr>
                <w:strike/>
                <w:color w:val="000000"/>
                <w:sz w:val="20"/>
                <w:szCs w:val="20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Υ2.4: Ανάλυση δεδομένων με Γεωγραφικά Πληροφοριακά Συστήματα, με βιολόγο ή άλλον επιστήμονα συναφούς αντικειμένου</w:t>
            </w:r>
          </w:p>
        </w:tc>
        <w:tc>
          <w:tcPr>
            <w:tcW w:w="1560" w:type="dxa"/>
            <w:vAlign w:val="center"/>
          </w:tcPr>
          <w:p w:rsidR="00E24F7A" w:rsidRDefault="00E24F7A" w:rsidP="00B02223">
            <w:pPr>
              <w:suppressAutoHyphens w:val="0"/>
              <w:autoSpaceDE w:val="0"/>
              <w:spacing w:after="60"/>
              <w:jc w:val="center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Οι υπηρεσίες Υ2.1, Υ2.2, Υ2.3, Υ2.4 ενσωματώνονται στην υλοποίηση</w:t>
            </w:r>
          </w:p>
          <w:p w:rsidR="00E24F7A" w:rsidRDefault="00E24F7A" w:rsidP="00B02223">
            <w:pPr>
              <w:suppressAutoHyphens w:val="0"/>
              <w:autoSpaceDE w:val="0"/>
              <w:spacing w:after="60"/>
              <w:jc w:val="center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των δράσεων</w:t>
            </w:r>
          </w:p>
          <w:p w:rsidR="00E24F7A" w:rsidRDefault="00E24F7A" w:rsidP="00B02223">
            <w:pPr>
              <w:suppressAutoHyphens w:val="0"/>
              <w:autoSpaceDE w:val="0"/>
              <w:spacing w:after="60"/>
              <w:jc w:val="center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Α1.1, Α1.2, Α1.6, Α1.7, Α1.8, Α1.9,</w:t>
            </w:r>
            <w:r>
              <w:rPr>
                <w:rFonts w:eastAsia="SimSun"/>
                <w:color w:val="000000"/>
                <w:szCs w:val="22"/>
                <w:lang w:val="el-GR"/>
              </w:rPr>
              <w:br/>
              <w:t>Α1.10, Α1.11, Α1.12, Α1.15</w:t>
            </w:r>
          </w:p>
        </w:tc>
      </w:tr>
      <w:tr w:rsidR="00E24F7A" w:rsidTr="00E24F7A">
        <w:tc>
          <w:tcPr>
            <w:tcW w:w="548" w:type="dxa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7</w:t>
            </w:r>
          </w:p>
        </w:tc>
        <w:tc>
          <w:tcPr>
            <w:tcW w:w="1403" w:type="dxa"/>
            <w:vAlign w:val="center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92312213-7</w:t>
            </w:r>
          </w:p>
        </w:tc>
        <w:tc>
          <w:tcPr>
            <w:tcW w:w="5415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 xml:space="preserve">Α1.1 Προσδιορισμός περιοχών ενδιαφέροντος για τη μελέτη </w:t>
            </w:r>
            <w:proofErr w:type="spellStart"/>
            <w:r>
              <w:rPr>
                <w:color w:val="000000"/>
                <w:szCs w:val="22"/>
                <w:lang w:val="el-GR"/>
              </w:rPr>
              <w:t>βενθικών</w:t>
            </w:r>
            <w:proofErr w:type="spellEnd"/>
            <w:r>
              <w:rPr>
                <w:color w:val="000000"/>
                <w:szCs w:val="22"/>
                <w:lang w:val="el-GR"/>
              </w:rPr>
              <w:t xml:space="preserve"> ενδιαιτημάτων.</w:t>
            </w:r>
          </w:p>
        </w:tc>
        <w:tc>
          <w:tcPr>
            <w:tcW w:w="156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1</w:t>
            </w:r>
          </w:p>
        </w:tc>
      </w:tr>
      <w:tr w:rsidR="00E24F7A" w:rsidTr="00E24F7A">
        <w:tc>
          <w:tcPr>
            <w:tcW w:w="548" w:type="dxa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8</w:t>
            </w:r>
          </w:p>
        </w:tc>
        <w:tc>
          <w:tcPr>
            <w:tcW w:w="1403" w:type="dxa"/>
            <w:vAlign w:val="center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</w:rPr>
              <w:t>92312213-7</w:t>
            </w:r>
          </w:p>
        </w:tc>
        <w:tc>
          <w:tcPr>
            <w:tcW w:w="5415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 xml:space="preserve">Α1.2 Προσδιορισμός μιας περιοχής ενδιαφέροντος για τη φυσικοχημική εγκατάσταση </w:t>
            </w:r>
            <w:r>
              <w:rPr>
                <w:color w:val="000000"/>
                <w:szCs w:val="22"/>
              </w:rPr>
              <w:t>buoy</w:t>
            </w:r>
            <w:r>
              <w:rPr>
                <w:color w:val="000000"/>
                <w:szCs w:val="22"/>
                <w:lang w:val="el-GR"/>
              </w:rPr>
              <w:t>.</w:t>
            </w:r>
          </w:p>
        </w:tc>
        <w:tc>
          <w:tcPr>
            <w:tcW w:w="156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1</w:t>
            </w:r>
          </w:p>
        </w:tc>
      </w:tr>
      <w:tr w:rsidR="00E24F7A" w:rsidTr="00E24F7A">
        <w:tc>
          <w:tcPr>
            <w:tcW w:w="548" w:type="dxa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9</w:t>
            </w:r>
          </w:p>
        </w:tc>
        <w:tc>
          <w:tcPr>
            <w:tcW w:w="1403" w:type="dxa"/>
            <w:vAlign w:val="center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</w:rPr>
              <w:t>92312213-7</w:t>
            </w:r>
          </w:p>
        </w:tc>
        <w:tc>
          <w:tcPr>
            <w:tcW w:w="5415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 xml:space="preserve">Α1.6 Συλλογή και εναρμόνιση δεδομένων, εικόνων και βίντεο από </w:t>
            </w:r>
            <w:r>
              <w:rPr>
                <w:color w:val="000000"/>
                <w:szCs w:val="22"/>
              </w:rPr>
              <w:t>AUV</w:t>
            </w:r>
            <w:r>
              <w:rPr>
                <w:color w:val="000000"/>
                <w:szCs w:val="22"/>
                <w:lang w:val="el-GR"/>
              </w:rPr>
              <w:t xml:space="preserve"> και </w:t>
            </w:r>
            <w:r>
              <w:rPr>
                <w:color w:val="000000"/>
                <w:szCs w:val="22"/>
              </w:rPr>
              <w:t>ROV</w:t>
            </w:r>
            <w:r>
              <w:rPr>
                <w:color w:val="000000"/>
                <w:szCs w:val="22"/>
                <w:lang w:val="el-GR"/>
              </w:rPr>
              <w:t>.</w:t>
            </w:r>
          </w:p>
        </w:tc>
        <w:tc>
          <w:tcPr>
            <w:tcW w:w="156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5</w:t>
            </w:r>
          </w:p>
        </w:tc>
      </w:tr>
      <w:tr w:rsidR="00E24F7A" w:rsidTr="00E24F7A">
        <w:tc>
          <w:tcPr>
            <w:tcW w:w="548" w:type="dxa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10</w:t>
            </w:r>
          </w:p>
        </w:tc>
        <w:tc>
          <w:tcPr>
            <w:tcW w:w="1403" w:type="dxa"/>
            <w:vAlign w:val="center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</w:rPr>
              <w:t>92312213-7</w:t>
            </w:r>
          </w:p>
        </w:tc>
        <w:tc>
          <w:tcPr>
            <w:tcW w:w="5415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Α1.7 Επεξεργασία δεδομένων, εικόνων και βίντεο από σόναρ πλευρικής σάρωσης χρησιμοποιώντας εργαλεία μηχανικής μάθησης και τεχνητής νοημοσύνης και οριοθέτηση βασικών ενδιαιτημάτων.</w:t>
            </w:r>
          </w:p>
        </w:tc>
        <w:tc>
          <w:tcPr>
            <w:tcW w:w="156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4</w:t>
            </w:r>
          </w:p>
        </w:tc>
      </w:tr>
      <w:tr w:rsidR="00E24F7A" w:rsidTr="00E24F7A">
        <w:tc>
          <w:tcPr>
            <w:tcW w:w="548" w:type="dxa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11</w:t>
            </w:r>
          </w:p>
        </w:tc>
        <w:tc>
          <w:tcPr>
            <w:tcW w:w="1403" w:type="dxa"/>
            <w:vAlign w:val="center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</w:rPr>
              <w:t>92312213-7</w:t>
            </w:r>
          </w:p>
        </w:tc>
        <w:tc>
          <w:tcPr>
            <w:tcW w:w="5415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 xml:space="preserve">Α1.8 Αξιολόγηση της υγείας των </w:t>
            </w:r>
            <w:proofErr w:type="spellStart"/>
            <w:r>
              <w:rPr>
                <w:color w:val="000000"/>
                <w:szCs w:val="22"/>
                <w:lang w:val="el-GR"/>
              </w:rPr>
              <w:t>βενθικών</w:t>
            </w:r>
            <w:proofErr w:type="spellEnd"/>
            <w:r>
              <w:rPr>
                <w:color w:val="000000"/>
                <w:szCs w:val="22"/>
                <w:lang w:val="el-GR"/>
              </w:rPr>
              <w:t xml:space="preserve"> ενδιαιτημάτων σε σχέση με τις περιβαλλοντικές συνθήκες και τις ανθρώπινες επιπτώσεις.</w:t>
            </w:r>
          </w:p>
        </w:tc>
        <w:tc>
          <w:tcPr>
            <w:tcW w:w="156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4</w:t>
            </w:r>
          </w:p>
        </w:tc>
      </w:tr>
      <w:tr w:rsidR="00E24F7A" w:rsidTr="00E24F7A">
        <w:tc>
          <w:tcPr>
            <w:tcW w:w="548" w:type="dxa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12</w:t>
            </w:r>
          </w:p>
        </w:tc>
        <w:tc>
          <w:tcPr>
            <w:tcW w:w="1403" w:type="dxa"/>
            <w:vAlign w:val="center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</w:rPr>
              <w:t>92312213-7</w:t>
            </w:r>
          </w:p>
        </w:tc>
        <w:tc>
          <w:tcPr>
            <w:tcW w:w="5415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 xml:space="preserve">Α1.9 Φυσικοχημικά δεδομένα διεργασίας που συλλέγονται με επιφανειακή </w:t>
            </w:r>
            <w:r>
              <w:rPr>
                <w:color w:val="000000"/>
                <w:szCs w:val="22"/>
              </w:rPr>
              <w:t>buoy</w:t>
            </w:r>
            <w:r>
              <w:rPr>
                <w:color w:val="000000"/>
                <w:szCs w:val="22"/>
                <w:lang w:val="el-GR"/>
              </w:rPr>
              <w:t xml:space="preserve">, εφαρμόζουν </w:t>
            </w:r>
            <w:r>
              <w:rPr>
                <w:color w:val="000000"/>
                <w:szCs w:val="22"/>
              </w:rPr>
              <w:t>ML</w:t>
            </w:r>
            <w:r>
              <w:rPr>
                <w:color w:val="000000"/>
                <w:szCs w:val="22"/>
                <w:lang w:val="el-GR"/>
              </w:rPr>
              <w:t xml:space="preserve"> και </w:t>
            </w:r>
            <w:r>
              <w:rPr>
                <w:color w:val="000000"/>
                <w:szCs w:val="22"/>
              </w:rPr>
              <w:t>AI</w:t>
            </w:r>
            <w:r>
              <w:rPr>
                <w:color w:val="000000"/>
                <w:szCs w:val="22"/>
                <w:lang w:val="el-GR"/>
              </w:rPr>
              <w:t xml:space="preserve"> για βραχυπρόθεσμες προβλέψεις και επικύρωση δορυφορικών.</w:t>
            </w:r>
          </w:p>
        </w:tc>
        <w:tc>
          <w:tcPr>
            <w:tcW w:w="156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4</w:t>
            </w:r>
          </w:p>
        </w:tc>
      </w:tr>
      <w:tr w:rsidR="00E24F7A" w:rsidTr="00E24F7A">
        <w:tc>
          <w:tcPr>
            <w:tcW w:w="548" w:type="dxa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13</w:t>
            </w:r>
          </w:p>
        </w:tc>
        <w:tc>
          <w:tcPr>
            <w:tcW w:w="1403" w:type="dxa"/>
            <w:vAlign w:val="center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</w:rPr>
              <w:t>92312213-7</w:t>
            </w:r>
          </w:p>
        </w:tc>
        <w:tc>
          <w:tcPr>
            <w:tcW w:w="5415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Α1.10 Αξιολόγηση της παρουσίας θαλάσσιων απορριμμάτων και θαλάσσιων κινδύνου ρύπανσης στην περιοχή μελέτης.</w:t>
            </w:r>
          </w:p>
        </w:tc>
        <w:tc>
          <w:tcPr>
            <w:tcW w:w="156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2</w:t>
            </w:r>
          </w:p>
        </w:tc>
      </w:tr>
      <w:tr w:rsidR="00E24F7A" w:rsidTr="00E24F7A">
        <w:tc>
          <w:tcPr>
            <w:tcW w:w="548" w:type="dxa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14</w:t>
            </w:r>
          </w:p>
        </w:tc>
        <w:tc>
          <w:tcPr>
            <w:tcW w:w="1403" w:type="dxa"/>
            <w:vAlign w:val="center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</w:rPr>
              <w:t>92312213-7</w:t>
            </w:r>
          </w:p>
        </w:tc>
        <w:tc>
          <w:tcPr>
            <w:tcW w:w="5415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Α1.11 Συστάσεις πολιτικής για το θαλάσσιο περιβάλλον στην περιοχή μελέτης.</w:t>
            </w:r>
          </w:p>
        </w:tc>
        <w:tc>
          <w:tcPr>
            <w:tcW w:w="156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3</w:t>
            </w:r>
          </w:p>
        </w:tc>
      </w:tr>
      <w:tr w:rsidR="00E24F7A" w:rsidTr="00E24F7A">
        <w:tc>
          <w:tcPr>
            <w:tcW w:w="548" w:type="dxa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15</w:t>
            </w:r>
          </w:p>
        </w:tc>
        <w:tc>
          <w:tcPr>
            <w:tcW w:w="1403" w:type="dxa"/>
            <w:vAlign w:val="center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</w:rPr>
              <w:t>92312213-7</w:t>
            </w:r>
          </w:p>
        </w:tc>
        <w:tc>
          <w:tcPr>
            <w:tcW w:w="5415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 xml:space="preserve">Α1.12: Παραγωγή βίντεο για την κατάσταση του </w:t>
            </w:r>
            <w:proofErr w:type="spellStart"/>
            <w:r>
              <w:rPr>
                <w:color w:val="000000"/>
                <w:szCs w:val="22"/>
                <w:lang w:val="el-GR"/>
              </w:rPr>
              <w:t>βενθικού</w:t>
            </w:r>
            <w:proofErr w:type="spellEnd"/>
            <w:r>
              <w:rPr>
                <w:color w:val="000000"/>
                <w:szCs w:val="22"/>
                <w:lang w:val="el-GR"/>
              </w:rPr>
              <w:t xml:space="preserve"> οικοσυστήματος και απειλές.</w:t>
            </w:r>
          </w:p>
        </w:tc>
        <w:tc>
          <w:tcPr>
            <w:tcW w:w="156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7</w:t>
            </w:r>
          </w:p>
        </w:tc>
      </w:tr>
      <w:tr w:rsidR="00E24F7A" w:rsidTr="00E24F7A">
        <w:tc>
          <w:tcPr>
            <w:tcW w:w="548" w:type="dxa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16</w:t>
            </w:r>
          </w:p>
        </w:tc>
        <w:tc>
          <w:tcPr>
            <w:tcW w:w="1403" w:type="dxa"/>
            <w:vAlign w:val="center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</w:rPr>
              <w:t>92312213-7</w:t>
            </w:r>
          </w:p>
        </w:tc>
        <w:tc>
          <w:tcPr>
            <w:tcW w:w="5415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 xml:space="preserve">Α1.15: Διαμοίραση δεδομένων και αποτελεσμάτων με το δίκτυο Θαλάσσιας Παρακολούθησης </w:t>
            </w:r>
            <w:r>
              <w:rPr>
                <w:color w:val="000000"/>
                <w:szCs w:val="22"/>
              </w:rPr>
              <w:t>Copernicus</w:t>
            </w:r>
            <w:r>
              <w:rPr>
                <w:color w:val="000000"/>
                <w:szCs w:val="22"/>
                <w:lang w:val="el-GR"/>
              </w:rPr>
              <w:t>.</w:t>
            </w:r>
          </w:p>
        </w:tc>
        <w:tc>
          <w:tcPr>
            <w:tcW w:w="156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6</w:t>
            </w:r>
          </w:p>
        </w:tc>
      </w:tr>
      <w:tr w:rsidR="00E24F7A" w:rsidTr="00E24F7A">
        <w:tc>
          <w:tcPr>
            <w:tcW w:w="548" w:type="dxa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403" w:type="dxa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5415" w:type="dxa"/>
          </w:tcPr>
          <w:p w:rsidR="00E24F7A" w:rsidRDefault="00E24F7A" w:rsidP="00B02223">
            <w:pPr>
              <w:spacing w:line="288" w:lineRule="auto"/>
              <w:jc w:val="lef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ΣΥΝΟΛΟ</w:t>
            </w:r>
          </w:p>
        </w:tc>
        <w:tc>
          <w:tcPr>
            <w:tcW w:w="156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</w:rPr>
            </w:pPr>
          </w:p>
        </w:tc>
      </w:tr>
    </w:tbl>
    <w:p w:rsidR="00E24F7A" w:rsidRPr="00902B1B" w:rsidRDefault="00E24F7A" w:rsidP="00E24F7A">
      <w:pPr>
        <w:rPr>
          <w:bCs/>
          <w:color w:val="0000FF"/>
          <w:spacing w:val="-2"/>
          <w:szCs w:val="22"/>
          <w:lang w:val="el-GR"/>
        </w:rPr>
      </w:pPr>
    </w:p>
    <w:p w:rsidR="00E24F7A" w:rsidRPr="002D4F7D" w:rsidRDefault="00E24F7A" w:rsidP="00E24F7A">
      <w:pPr>
        <w:spacing w:before="80" w:line="288" w:lineRule="auto"/>
        <w:ind w:firstLine="425"/>
        <w:rPr>
          <w:b/>
          <w:color w:val="FF0000"/>
          <w:szCs w:val="22"/>
          <w:u w:val="single"/>
          <w:lang w:val="el-GR"/>
        </w:rPr>
      </w:pPr>
    </w:p>
    <w:p w:rsidR="00E24F7A" w:rsidRPr="00E24F7A" w:rsidRDefault="00E24F7A" w:rsidP="00E24F7A">
      <w:pPr>
        <w:spacing w:line="288" w:lineRule="auto"/>
        <w:jc w:val="center"/>
        <w:rPr>
          <w:b/>
          <w:color w:val="000000"/>
          <w:szCs w:val="2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4F7A">
        <w:rPr>
          <w:b/>
          <w:color w:val="000000"/>
          <w:szCs w:val="22"/>
          <w:u w:val="single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Υπηρεσία 2:</w:t>
      </w:r>
      <w:r w:rsidRPr="00E24F7A">
        <w:rPr>
          <w:b/>
          <w:color w:val="000000"/>
          <w:szCs w:val="2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“</w:t>
      </w:r>
      <w:r>
        <w:rPr>
          <w:color w:val="000000"/>
          <w:szCs w:val="22"/>
          <w:lang w:val="el-GR"/>
        </w:rPr>
        <w:t xml:space="preserve"> </w:t>
      </w:r>
      <w:r w:rsidRPr="00E24F7A">
        <w:rPr>
          <w:color w:val="000000"/>
          <w:szCs w:val="2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Οργάνωση Δημόσιων εκδηλώσεων”</w:t>
      </w:r>
    </w:p>
    <w:p w:rsidR="00E24F7A" w:rsidRDefault="00E24F7A" w:rsidP="00E24F7A">
      <w:pPr>
        <w:spacing w:line="288" w:lineRule="auto"/>
        <w:jc w:val="center"/>
        <w:rPr>
          <w:color w:val="000000"/>
          <w:szCs w:val="22"/>
          <w:lang w:val="el-GR"/>
        </w:rPr>
      </w:pPr>
      <w:r w:rsidRPr="00E24F7A">
        <w:rPr>
          <w:color w:val="000000"/>
          <w:szCs w:val="2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[</w:t>
      </w:r>
      <w:proofErr w:type="spellStart"/>
      <w:r w:rsidRPr="00E24F7A">
        <w:rPr>
          <w:color w:val="000000"/>
          <w:szCs w:val="2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προϋπολογιζομένη</w:t>
      </w:r>
      <w:proofErr w:type="spellEnd"/>
      <w:r w:rsidRPr="00E24F7A">
        <w:rPr>
          <w:color w:val="000000"/>
          <w:szCs w:val="2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δαπάνη 19.314,50€  (πλέον του Φ.Π.Α.)]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1403"/>
        <w:gridCol w:w="4990"/>
        <w:gridCol w:w="2268"/>
      </w:tblGrid>
      <w:tr w:rsidR="00E24F7A" w:rsidTr="00E24F7A">
        <w:tc>
          <w:tcPr>
            <w:tcW w:w="548" w:type="dxa"/>
            <w:vAlign w:val="center"/>
          </w:tcPr>
          <w:p w:rsidR="00E24F7A" w:rsidRDefault="00E24F7A" w:rsidP="00B02223">
            <w:pPr>
              <w:widowControl w:val="0"/>
              <w:spacing w:before="80" w:after="8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α/α</w:t>
            </w:r>
          </w:p>
        </w:tc>
        <w:tc>
          <w:tcPr>
            <w:tcW w:w="1403" w:type="dxa"/>
            <w:vAlign w:val="center"/>
          </w:tcPr>
          <w:p w:rsidR="00E24F7A" w:rsidRDefault="00E24F7A" w:rsidP="00B02223">
            <w:pPr>
              <w:widowControl w:val="0"/>
              <w:spacing w:line="288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>
              <w:rPr>
                <w:color w:val="000000"/>
                <w:sz w:val="20"/>
                <w:szCs w:val="20"/>
                <w:lang w:val="el-GR" w:eastAsia="el-GR"/>
              </w:rPr>
              <w:t>Κωδικός</w:t>
            </w:r>
          </w:p>
          <w:p w:rsidR="00E24F7A" w:rsidRDefault="00E24F7A" w:rsidP="00B02223">
            <w:pPr>
              <w:widowControl w:val="0"/>
              <w:spacing w:line="288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>
              <w:rPr>
                <w:color w:val="000000"/>
                <w:sz w:val="20"/>
                <w:szCs w:val="20"/>
                <w:lang w:val="en-US" w:eastAsia="el-GR"/>
              </w:rPr>
              <w:t xml:space="preserve">CPV </w:t>
            </w:r>
            <w:r>
              <w:rPr>
                <w:rStyle w:val="WW-FootnoteReference15"/>
                <w:color w:val="000000"/>
                <w:sz w:val="20"/>
                <w:szCs w:val="20"/>
                <w:lang w:val="el-GR"/>
              </w:rPr>
              <w:footnoteReference w:id="2"/>
            </w:r>
          </w:p>
          <w:p w:rsidR="00E24F7A" w:rsidRDefault="00E24F7A" w:rsidP="00B02223">
            <w:pPr>
              <w:widowControl w:val="0"/>
              <w:spacing w:line="288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4990" w:type="dxa"/>
            <w:vAlign w:val="center"/>
          </w:tcPr>
          <w:p w:rsidR="00E24F7A" w:rsidRDefault="00E24F7A" w:rsidP="00B02223">
            <w:pPr>
              <w:widowControl w:val="0"/>
              <w:spacing w:before="80" w:after="80" w:line="288" w:lineRule="auto"/>
              <w:ind w:left="1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Περιγρ</w:t>
            </w:r>
            <w:proofErr w:type="spellEnd"/>
            <w:r>
              <w:rPr>
                <w:color w:val="000000"/>
                <w:sz w:val="20"/>
                <w:szCs w:val="20"/>
              </w:rPr>
              <w:t>αφή</w:t>
            </w:r>
          </w:p>
        </w:tc>
        <w:tc>
          <w:tcPr>
            <w:tcW w:w="2268" w:type="dxa"/>
            <w:vAlign w:val="center"/>
          </w:tcPr>
          <w:p w:rsidR="00E24F7A" w:rsidRDefault="00E24F7A" w:rsidP="00B02223">
            <w:pPr>
              <w:widowControl w:val="0"/>
              <w:spacing w:before="80" w:after="80" w:line="288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Ποσ</w:t>
            </w:r>
            <w:r>
              <w:rPr>
                <w:color w:val="000000"/>
                <w:sz w:val="20"/>
                <w:szCs w:val="20"/>
                <w:lang w:val="el-GR"/>
              </w:rPr>
              <w:t>ότητα</w:t>
            </w:r>
            <w:proofErr w:type="spellEnd"/>
          </w:p>
        </w:tc>
      </w:tr>
      <w:tr w:rsidR="00E24F7A" w:rsidTr="00E24F7A">
        <w:tc>
          <w:tcPr>
            <w:tcW w:w="548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17</w:t>
            </w:r>
          </w:p>
        </w:tc>
        <w:tc>
          <w:tcPr>
            <w:tcW w:w="1403" w:type="dxa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lang w:val="el-GR"/>
              </w:rPr>
              <w:t>79950000-8</w:t>
            </w:r>
          </w:p>
        </w:tc>
        <w:tc>
          <w:tcPr>
            <w:tcW w:w="499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Π2.1: Οργάνωση άτυπης κατάρτισης 3 ημέρων.</w:t>
            </w:r>
          </w:p>
        </w:tc>
        <w:tc>
          <w:tcPr>
            <w:tcW w:w="2268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1</w:t>
            </w:r>
          </w:p>
        </w:tc>
      </w:tr>
      <w:tr w:rsidR="00E24F7A" w:rsidTr="00E24F7A">
        <w:tc>
          <w:tcPr>
            <w:tcW w:w="548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18</w:t>
            </w:r>
          </w:p>
        </w:tc>
        <w:tc>
          <w:tcPr>
            <w:tcW w:w="1403" w:type="dxa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lang w:val="el-GR"/>
              </w:rPr>
              <w:t>79950000-8</w:t>
            </w:r>
          </w:p>
        </w:tc>
        <w:tc>
          <w:tcPr>
            <w:tcW w:w="499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strike/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Cs w:val="22"/>
              </w:rPr>
              <w:t>Π2.2: Παρα</w:t>
            </w:r>
            <w:proofErr w:type="spellStart"/>
            <w:r>
              <w:rPr>
                <w:color w:val="000000"/>
                <w:szCs w:val="22"/>
              </w:rPr>
              <w:t>γωγή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υλικού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διάχυσης</w:t>
            </w:r>
            <w:proofErr w:type="spellEnd"/>
          </w:p>
        </w:tc>
        <w:tc>
          <w:tcPr>
            <w:tcW w:w="2268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l-GR"/>
              </w:rPr>
              <w:t>1.200 (4</w:t>
            </w:r>
            <w:r>
              <w:rPr>
                <w:color w:val="000000"/>
                <w:szCs w:val="22"/>
                <w:lang w:val="en-US"/>
              </w:rPr>
              <w:t xml:space="preserve"> x 300)</w:t>
            </w:r>
          </w:p>
        </w:tc>
      </w:tr>
      <w:tr w:rsidR="00E24F7A" w:rsidTr="00E24F7A">
        <w:tc>
          <w:tcPr>
            <w:tcW w:w="548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19</w:t>
            </w:r>
          </w:p>
        </w:tc>
        <w:tc>
          <w:tcPr>
            <w:tcW w:w="1403" w:type="dxa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lang w:val="el-GR"/>
              </w:rPr>
              <w:t>79950000-8</w:t>
            </w:r>
          </w:p>
        </w:tc>
        <w:tc>
          <w:tcPr>
            <w:tcW w:w="499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strike/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Π2.3: Παραγωγή ενημερωτικού φυλλαδίου (</w:t>
            </w:r>
            <w:r>
              <w:rPr>
                <w:color w:val="000000"/>
                <w:szCs w:val="22"/>
              </w:rPr>
              <w:t>leaflet</w:t>
            </w:r>
            <w:r>
              <w:rPr>
                <w:color w:val="000000"/>
                <w:szCs w:val="22"/>
                <w:lang w:val="el-GR"/>
              </w:rPr>
              <w:t>).</w:t>
            </w:r>
          </w:p>
        </w:tc>
        <w:tc>
          <w:tcPr>
            <w:tcW w:w="2268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1</w:t>
            </w:r>
            <w:r>
              <w:rPr>
                <w:color w:val="000000"/>
                <w:szCs w:val="22"/>
                <w:lang w:val="en-US"/>
              </w:rPr>
              <w:t>.</w:t>
            </w:r>
            <w:r>
              <w:rPr>
                <w:color w:val="000000"/>
                <w:szCs w:val="22"/>
                <w:lang w:val="el-GR"/>
              </w:rPr>
              <w:t>000</w:t>
            </w:r>
          </w:p>
        </w:tc>
      </w:tr>
      <w:tr w:rsidR="00E24F7A" w:rsidTr="00E24F7A">
        <w:tc>
          <w:tcPr>
            <w:tcW w:w="548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20</w:t>
            </w:r>
          </w:p>
        </w:tc>
        <w:tc>
          <w:tcPr>
            <w:tcW w:w="1403" w:type="dxa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lang w:val="el-GR"/>
              </w:rPr>
              <w:t>79950000-8</w:t>
            </w:r>
          </w:p>
        </w:tc>
        <w:tc>
          <w:tcPr>
            <w:tcW w:w="499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strike/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Cs w:val="22"/>
              </w:rPr>
              <w:t>Π2.4: Παρα</w:t>
            </w:r>
            <w:proofErr w:type="spellStart"/>
            <w:r>
              <w:rPr>
                <w:color w:val="000000"/>
                <w:szCs w:val="22"/>
              </w:rPr>
              <w:t>γωγή</w:t>
            </w:r>
            <w:proofErr w:type="spellEnd"/>
            <w:r>
              <w:rPr>
                <w:color w:val="000000"/>
                <w:szCs w:val="22"/>
              </w:rPr>
              <w:t xml:space="preserve"> μπ</w:t>
            </w:r>
            <w:proofErr w:type="spellStart"/>
            <w:r>
              <w:rPr>
                <w:color w:val="000000"/>
                <w:szCs w:val="22"/>
              </w:rPr>
              <w:t>άνερ</w:t>
            </w:r>
            <w:proofErr w:type="spellEnd"/>
          </w:p>
        </w:tc>
        <w:tc>
          <w:tcPr>
            <w:tcW w:w="2268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2</w:t>
            </w:r>
          </w:p>
        </w:tc>
      </w:tr>
      <w:tr w:rsidR="00E24F7A" w:rsidTr="00E24F7A">
        <w:tc>
          <w:tcPr>
            <w:tcW w:w="548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21</w:t>
            </w:r>
          </w:p>
        </w:tc>
        <w:tc>
          <w:tcPr>
            <w:tcW w:w="1403" w:type="dxa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lang w:val="el-GR"/>
              </w:rPr>
              <w:t>79950000-8</w:t>
            </w:r>
          </w:p>
        </w:tc>
        <w:tc>
          <w:tcPr>
            <w:tcW w:w="499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strike/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Cs w:val="22"/>
              </w:rPr>
              <w:t xml:space="preserve">Π2.5: </w:t>
            </w:r>
            <w:proofErr w:type="spellStart"/>
            <w:r>
              <w:rPr>
                <w:color w:val="000000"/>
                <w:szCs w:val="22"/>
              </w:rPr>
              <w:t>Οργάνωση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συνέντευξης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τύ</w:t>
            </w:r>
            <w:proofErr w:type="spellEnd"/>
            <w:r>
              <w:rPr>
                <w:color w:val="000000"/>
                <w:szCs w:val="22"/>
              </w:rPr>
              <w:t>που.</w:t>
            </w:r>
          </w:p>
        </w:tc>
        <w:tc>
          <w:tcPr>
            <w:tcW w:w="2268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>1</w:t>
            </w:r>
          </w:p>
        </w:tc>
      </w:tr>
      <w:tr w:rsidR="00E24F7A" w:rsidTr="00E24F7A">
        <w:tc>
          <w:tcPr>
            <w:tcW w:w="548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22</w:t>
            </w:r>
          </w:p>
        </w:tc>
        <w:tc>
          <w:tcPr>
            <w:tcW w:w="1403" w:type="dxa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lang w:val="el-GR"/>
              </w:rPr>
              <w:t>79950000-8</w:t>
            </w:r>
          </w:p>
        </w:tc>
        <w:tc>
          <w:tcPr>
            <w:tcW w:w="499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strike/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 xml:space="preserve">Π2.6: Παραγωγή της διεθνούς αναφοράς του έργου </w:t>
            </w:r>
            <w:proofErr w:type="spellStart"/>
            <w:r>
              <w:rPr>
                <w:color w:val="000000"/>
                <w:szCs w:val="22"/>
              </w:rPr>
              <w:t>EfxINNOs</w:t>
            </w:r>
            <w:proofErr w:type="spellEnd"/>
          </w:p>
        </w:tc>
        <w:tc>
          <w:tcPr>
            <w:tcW w:w="2268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>150</w:t>
            </w:r>
          </w:p>
        </w:tc>
      </w:tr>
      <w:tr w:rsidR="00E24F7A" w:rsidTr="00E24F7A">
        <w:tc>
          <w:tcPr>
            <w:tcW w:w="548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23</w:t>
            </w:r>
          </w:p>
        </w:tc>
        <w:tc>
          <w:tcPr>
            <w:tcW w:w="1403" w:type="dxa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lang w:val="el-GR"/>
              </w:rPr>
              <w:t>79950000-8</w:t>
            </w:r>
          </w:p>
        </w:tc>
        <w:tc>
          <w:tcPr>
            <w:tcW w:w="499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Π2.7: Οργάνωση τοπικού εργαστηρίου (</w:t>
            </w:r>
            <w:r>
              <w:rPr>
                <w:color w:val="000000"/>
                <w:szCs w:val="22"/>
              </w:rPr>
              <w:t>workshop</w:t>
            </w:r>
            <w:r>
              <w:rPr>
                <w:color w:val="000000"/>
                <w:szCs w:val="22"/>
                <w:lang w:val="el-GR"/>
              </w:rPr>
              <w:t>) (διαδικτυακά)</w:t>
            </w:r>
          </w:p>
        </w:tc>
        <w:tc>
          <w:tcPr>
            <w:tcW w:w="2268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>1</w:t>
            </w:r>
          </w:p>
        </w:tc>
      </w:tr>
      <w:tr w:rsidR="00E24F7A" w:rsidTr="00E24F7A">
        <w:tc>
          <w:tcPr>
            <w:tcW w:w="548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24</w:t>
            </w:r>
          </w:p>
        </w:tc>
        <w:tc>
          <w:tcPr>
            <w:tcW w:w="1403" w:type="dxa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lang w:val="el-GR"/>
              </w:rPr>
              <w:t>79950000-8</w:t>
            </w:r>
          </w:p>
        </w:tc>
        <w:tc>
          <w:tcPr>
            <w:tcW w:w="499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 xml:space="preserve">Π2.8: Οργάνωση και διευκόλυνση υλοποίησης του περιφερειακού </w:t>
            </w:r>
            <w:proofErr w:type="spellStart"/>
            <w:r>
              <w:rPr>
                <w:color w:val="000000"/>
                <w:szCs w:val="22"/>
              </w:rPr>
              <w:t>Hacathlon</w:t>
            </w:r>
            <w:proofErr w:type="spellEnd"/>
            <w:r>
              <w:rPr>
                <w:color w:val="000000"/>
                <w:szCs w:val="22"/>
                <w:lang w:val="el-GR"/>
              </w:rPr>
              <w:t>.</w:t>
            </w:r>
          </w:p>
        </w:tc>
        <w:tc>
          <w:tcPr>
            <w:tcW w:w="2268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>1</w:t>
            </w:r>
          </w:p>
        </w:tc>
      </w:tr>
      <w:tr w:rsidR="00E24F7A" w:rsidTr="00E24F7A">
        <w:tc>
          <w:tcPr>
            <w:tcW w:w="548" w:type="dxa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403" w:type="dxa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990" w:type="dxa"/>
          </w:tcPr>
          <w:p w:rsidR="00E24F7A" w:rsidRDefault="00E24F7A" w:rsidP="00B02223">
            <w:pPr>
              <w:spacing w:line="288" w:lineRule="auto"/>
              <w:jc w:val="lef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ΣΥΝΟΛΟ</w:t>
            </w:r>
          </w:p>
        </w:tc>
        <w:tc>
          <w:tcPr>
            <w:tcW w:w="2268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</w:rPr>
            </w:pPr>
          </w:p>
        </w:tc>
      </w:tr>
    </w:tbl>
    <w:p w:rsidR="00E24F7A" w:rsidRPr="00902B1B" w:rsidRDefault="00E24F7A" w:rsidP="00E24F7A">
      <w:pPr>
        <w:rPr>
          <w:bCs/>
          <w:color w:val="0000FF"/>
          <w:spacing w:val="-2"/>
          <w:szCs w:val="22"/>
          <w:lang w:val="el-GR"/>
        </w:rPr>
      </w:pPr>
    </w:p>
    <w:p w:rsidR="00E24F7A" w:rsidRPr="00E24F7A" w:rsidRDefault="00E24F7A" w:rsidP="00E24F7A">
      <w:pPr>
        <w:spacing w:line="288" w:lineRule="auto"/>
        <w:jc w:val="center"/>
        <w:rPr>
          <w:b/>
          <w:color w:val="FF0000"/>
          <w:szCs w:val="22"/>
          <w:u w:val="single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24F7A" w:rsidRPr="00E24F7A" w:rsidRDefault="00E24F7A" w:rsidP="00E24F7A">
      <w:pPr>
        <w:spacing w:line="288" w:lineRule="auto"/>
        <w:jc w:val="center"/>
        <w:rPr>
          <w:b/>
          <w:color w:val="000000"/>
          <w:szCs w:val="2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4F7A">
        <w:rPr>
          <w:b/>
          <w:color w:val="000000"/>
          <w:szCs w:val="22"/>
          <w:u w:val="single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Υπηρεσία 3:</w:t>
      </w:r>
      <w:r w:rsidRPr="00E24F7A">
        <w:rPr>
          <w:b/>
          <w:color w:val="000000"/>
          <w:szCs w:val="2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“</w:t>
      </w:r>
      <w:r w:rsidRPr="00E24F7A">
        <w:rPr>
          <w:color w:val="000000"/>
          <w:szCs w:val="2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Προετοιμασία συμμετοχής εξωτερικών συνεργατών, εμπλεκομένων μερών ή/και συμμετεχόντων σε εκδηλώσεις </w:t>
      </w:r>
      <w:proofErr w:type="spellStart"/>
      <w:r w:rsidRPr="00E24F7A">
        <w:rPr>
          <w:color w:val="000000"/>
          <w:szCs w:val="2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Hacathlon</w:t>
      </w:r>
      <w:proofErr w:type="spellEnd"/>
      <w:r w:rsidRPr="00E24F7A">
        <w:rPr>
          <w:color w:val="000000"/>
          <w:szCs w:val="2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σε δράσεις εκτός Ελλάδος”</w:t>
      </w:r>
    </w:p>
    <w:p w:rsidR="00E24F7A" w:rsidRDefault="00E24F7A" w:rsidP="00E24F7A">
      <w:pPr>
        <w:spacing w:line="288" w:lineRule="auto"/>
        <w:jc w:val="center"/>
        <w:rPr>
          <w:color w:val="000000"/>
          <w:szCs w:val="22"/>
          <w:lang w:val="el-GR"/>
        </w:rPr>
      </w:pPr>
      <w:r w:rsidRPr="00E24F7A">
        <w:rPr>
          <w:color w:val="000000"/>
          <w:szCs w:val="2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[</w:t>
      </w:r>
      <w:proofErr w:type="spellStart"/>
      <w:r w:rsidRPr="00E24F7A">
        <w:rPr>
          <w:color w:val="000000"/>
          <w:szCs w:val="2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προϋπολογιζομένη</w:t>
      </w:r>
      <w:proofErr w:type="spellEnd"/>
      <w:r w:rsidRPr="00E24F7A">
        <w:rPr>
          <w:color w:val="000000"/>
          <w:szCs w:val="22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δαπάνη 8.064,52€  (πλέον του Φ.Π.Α.)]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1403"/>
        <w:gridCol w:w="4990"/>
        <w:gridCol w:w="2268"/>
      </w:tblGrid>
      <w:tr w:rsidR="00E24F7A" w:rsidTr="00E24F7A">
        <w:tc>
          <w:tcPr>
            <w:tcW w:w="548" w:type="dxa"/>
            <w:vAlign w:val="center"/>
          </w:tcPr>
          <w:p w:rsidR="00E24F7A" w:rsidRDefault="00E24F7A" w:rsidP="00B02223">
            <w:pPr>
              <w:widowControl w:val="0"/>
              <w:spacing w:before="80" w:after="8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α/α</w:t>
            </w:r>
          </w:p>
        </w:tc>
        <w:tc>
          <w:tcPr>
            <w:tcW w:w="1403" w:type="dxa"/>
            <w:vAlign w:val="center"/>
          </w:tcPr>
          <w:p w:rsidR="00E24F7A" w:rsidRDefault="00E24F7A" w:rsidP="00B02223">
            <w:pPr>
              <w:widowControl w:val="0"/>
              <w:spacing w:line="288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>
              <w:rPr>
                <w:color w:val="000000"/>
                <w:sz w:val="20"/>
                <w:szCs w:val="20"/>
                <w:lang w:val="el-GR" w:eastAsia="el-GR"/>
              </w:rPr>
              <w:t>Κωδικός</w:t>
            </w:r>
          </w:p>
          <w:p w:rsidR="00E24F7A" w:rsidRDefault="00E24F7A" w:rsidP="00B02223">
            <w:pPr>
              <w:widowControl w:val="0"/>
              <w:spacing w:line="288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>
              <w:rPr>
                <w:color w:val="000000"/>
                <w:sz w:val="20"/>
                <w:szCs w:val="20"/>
                <w:lang w:val="en-US" w:eastAsia="el-GR"/>
              </w:rPr>
              <w:t xml:space="preserve">CPV </w:t>
            </w:r>
            <w:r>
              <w:rPr>
                <w:rStyle w:val="WW-FootnoteReference15"/>
                <w:color w:val="000000"/>
                <w:sz w:val="20"/>
                <w:szCs w:val="20"/>
                <w:lang w:val="el-GR"/>
              </w:rPr>
              <w:footnoteReference w:id="3"/>
            </w:r>
          </w:p>
          <w:p w:rsidR="00E24F7A" w:rsidRDefault="00E24F7A" w:rsidP="00B02223">
            <w:pPr>
              <w:widowControl w:val="0"/>
              <w:spacing w:line="288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4990" w:type="dxa"/>
            <w:vAlign w:val="center"/>
          </w:tcPr>
          <w:p w:rsidR="00E24F7A" w:rsidRDefault="00E24F7A" w:rsidP="00B02223">
            <w:pPr>
              <w:widowControl w:val="0"/>
              <w:spacing w:before="80" w:after="80" w:line="288" w:lineRule="auto"/>
              <w:ind w:left="1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Περιγρ</w:t>
            </w:r>
            <w:proofErr w:type="spellEnd"/>
            <w:r>
              <w:rPr>
                <w:color w:val="000000"/>
                <w:sz w:val="20"/>
                <w:szCs w:val="20"/>
              </w:rPr>
              <w:t>αφή</w:t>
            </w:r>
          </w:p>
        </w:tc>
        <w:tc>
          <w:tcPr>
            <w:tcW w:w="2268" w:type="dxa"/>
            <w:vAlign w:val="center"/>
          </w:tcPr>
          <w:p w:rsidR="00E24F7A" w:rsidRDefault="00E24F7A" w:rsidP="00B02223">
            <w:pPr>
              <w:widowControl w:val="0"/>
              <w:spacing w:before="80" w:after="80" w:line="288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Ποσ</w:t>
            </w:r>
            <w:r>
              <w:rPr>
                <w:color w:val="000000"/>
                <w:sz w:val="20"/>
                <w:szCs w:val="20"/>
                <w:lang w:val="el-GR"/>
              </w:rPr>
              <w:t>ότητα</w:t>
            </w:r>
            <w:proofErr w:type="spellEnd"/>
          </w:p>
        </w:tc>
      </w:tr>
      <w:tr w:rsidR="00E24F7A" w:rsidTr="00E24F7A">
        <w:tc>
          <w:tcPr>
            <w:tcW w:w="548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eastAsia="SimSun"/>
                <w:color w:val="000000"/>
                <w:szCs w:val="22"/>
                <w:lang w:val="en-US"/>
              </w:rPr>
              <w:t>25</w:t>
            </w:r>
          </w:p>
        </w:tc>
        <w:tc>
          <w:tcPr>
            <w:tcW w:w="1403" w:type="dxa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lang w:val="el-GR"/>
              </w:rPr>
              <w:t>79950000-8</w:t>
            </w:r>
          </w:p>
        </w:tc>
        <w:tc>
          <w:tcPr>
            <w:tcW w:w="4990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ind w:left="1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 xml:space="preserve">Π3.1: Προετοιμασία συμμετοχής εξωτερικών συνεργατών, εμπλεκομένων μερών ή/και συμμετεχόντων σε εκδηλώσεις </w:t>
            </w:r>
            <w:proofErr w:type="spellStart"/>
            <w:r>
              <w:rPr>
                <w:color w:val="000000"/>
                <w:szCs w:val="22"/>
              </w:rPr>
              <w:t>Hacathlon</w:t>
            </w:r>
            <w:proofErr w:type="spellEnd"/>
            <w:r>
              <w:rPr>
                <w:color w:val="000000"/>
                <w:szCs w:val="22"/>
                <w:lang w:val="el-GR"/>
              </w:rPr>
              <w:t>, σε δράσεις εκτός Ελλάδος.</w:t>
            </w:r>
          </w:p>
        </w:tc>
        <w:tc>
          <w:tcPr>
            <w:tcW w:w="2268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>8</w:t>
            </w:r>
          </w:p>
        </w:tc>
      </w:tr>
      <w:tr w:rsidR="00E24F7A" w:rsidTr="00E24F7A">
        <w:tc>
          <w:tcPr>
            <w:tcW w:w="548" w:type="dxa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403" w:type="dxa"/>
          </w:tcPr>
          <w:p w:rsidR="00E24F7A" w:rsidRDefault="00E24F7A" w:rsidP="00B02223">
            <w:pPr>
              <w:widowControl w:val="0"/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990" w:type="dxa"/>
          </w:tcPr>
          <w:p w:rsidR="00E24F7A" w:rsidRDefault="00E24F7A" w:rsidP="00B02223">
            <w:pPr>
              <w:spacing w:line="288" w:lineRule="auto"/>
              <w:jc w:val="lef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ΣΥΝΟΛΟ</w:t>
            </w:r>
          </w:p>
        </w:tc>
        <w:tc>
          <w:tcPr>
            <w:tcW w:w="2268" w:type="dxa"/>
            <w:vAlign w:val="center"/>
          </w:tcPr>
          <w:p w:rsidR="00E24F7A" w:rsidRDefault="00E24F7A" w:rsidP="00B02223">
            <w:pPr>
              <w:widowControl w:val="0"/>
              <w:spacing w:before="40" w:after="40" w:line="288" w:lineRule="auto"/>
              <w:jc w:val="center"/>
              <w:rPr>
                <w:color w:val="000000"/>
                <w:szCs w:val="22"/>
              </w:rPr>
            </w:pPr>
          </w:p>
        </w:tc>
      </w:tr>
    </w:tbl>
    <w:p w:rsidR="00E24F7A" w:rsidRPr="00902B1B" w:rsidRDefault="00E24F7A" w:rsidP="00E24F7A">
      <w:pPr>
        <w:rPr>
          <w:bCs/>
          <w:color w:val="0000FF"/>
          <w:spacing w:val="-2"/>
          <w:szCs w:val="22"/>
          <w:lang w:val="el-GR"/>
        </w:rPr>
      </w:pPr>
    </w:p>
    <w:p w:rsidR="00E24F7A" w:rsidRDefault="00E24F7A" w:rsidP="00E24F7A">
      <w:pPr>
        <w:spacing w:before="80" w:line="288" w:lineRule="auto"/>
        <w:ind w:firstLine="425"/>
        <w:rPr>
          <w:color w:val="000000"/>
          <w:szCs w:val="22"/>
          <w:lang w:val="el-GR"/>
        </w:rPr>
      </w:pPr>
      <w:r>
        <w:rPr>
          <w:color w:val="000000"/>
          <w:szCs w:val="22"/>
          <w:lang w:val="el-GR"/>
        </w:rPr>
        <w:lastRenderedPageBreak/>
        <w:t>Οι τεχνικές προδιαγραφές της προς προμήθεια υπηρεσίας, παρατίθενται στο:</w:t>
      </w:r>
    </w:p>
    <w:p w:rsidR="00E24F7A" w:rsidRDefault="00E24F7A" w:rsidP="00E24F7A">
      <w:pPr>
        <w:spacing w:before="80" w:line="288" w:lineRule="auto"/>
        <w:ind w:firstLine="425"/>
        <w:rPr>
          <w:color w:val="000000"/>
          <w:szCs w:val="22"/>
          <w:lang w:val="el-GR"/>
        </w:rPr>
      </w:pPr>
      <w:r>
        <w:rPr>
          <w:color w:val="000000"/>
          <w:szCs w:val="22"/>
          <w:lang w:val="el-GR"/>
        </w:rPr>
        <w:t xml:space="preserve">ΠΑΡΑΡΤΗΜΑ Ι – Αναλυτική Περιγραφή Φυσικού και Οικονομικού Αντικειμένου της Σύμβασης </w:t>
      </w:r>
      <w:r>
        <w:rPr>
          <w:color w:val="000000"/>
          <w:szCs w:val="22"/>
          <w:lang w:val="el-GR"/>
        </w:rPr>
        <w:sym w:font="Wingdings" w:char="F0E0"/>
      </w:r>
      <w:r>
        <w:rPr>
          <w:color w:val="000000"/>
          <w:szCs w:val="22"/>
          <w:lang w:val="el-GR"/>
        </w:rPr>
        <w:t xml:space="preserve"> ΜΕΡΟΣ Α - ΠΕΡΙΓΡΑΦΗ ΦΥΣΙΚΟΥ ΑΝΤΙΚΕΙΜΕΝΟΥ ΤΗΣ ΣΥΜΒΑΣΗΣ </w:t>
      </w:r>
      <w:r>
        <w:rPr>
          <w:color w:val="000000"/>
          <w:szCs w:val="22"/>
          <w:lang w:val="el-GR"/>
        </w:rPr>
        <w:sym w:font="Wingdings" w:char="F0E0"/>
      </w:r>
      <w:r>
        <w:rPr>
          <w:color w:val="000000"/>
          <w:szCs w:val="22"/>
          <w:lang w:val="el-GR"/>
        </w:rPr>
        <w:t xml:space="preserve"> ΑΝΤΙΚΕΙΜΕΝΟ ΤΗΣ ΣΥΜΒΑΣΗΣ </w:t>
      </w:r>
      <w:r>
        <w:rPr>
          <w:color w:val="000000"/>
          <w:szCs w:val="22"/>
          <w:lang w:val="el-GR"/>
        </w:rPr>
        <w:sym w:font="Wingdings" w:char="F0E0"/>
      </w:r>
      <w:r>
        <w:rPr>
          <w:color w:val="000000"/>
          <w:szCs w:val="22"/>
          <w:lang w:val="el-GR"/>
        </w:rPr>
        <w:t xml:space="preserve"> Παραδοτέα-Διαδικασία Παραλαβής/Παρακολούθησης</w:t>
      </w:r>
    </w:p>
    <w:p w:rsidR="00E24F7A" w:rsidRPr="00902B1B" w:rsidRDefault="00E24F7A" w:rsidP="00E24F7A">
      <w:pPr>
        <w:spacing w:line="288" w:lineRule="auto"/>
        <w:rPr>
          <w:bCs/>
          <w:color w:val="0000FF"/>
          <w:spacing w:val="-2"/>
          <w:szCs w:val="22"/>
          <w:lang w:val="el-GR"/>
        </w:rPr>
      </w:pPr>
    </w:p>
    <w:p w:rsidR="00E24F7A" w:rsidRDefault="00E24F7A" w:rsidP="00E24F7A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60"/>
        <w:ind w:left="425" w:hanging="425"/>
        <w:rPr>
          <w:rFonts w:ascii="Calibri" w:hAnsi="Calibri" w:cs="Calibri"/>
          <w:color w:val="000000"/>
          <w:sz w:val="22"/>
          <w:lang w:val="el-GR"/>
        </w:rPr>
      </w:pPr>
      <w:bookmarkStart w:id="4" w:name="_Toc501121897"/>
      <w:bookmarkStart w:id="5" w:name="_Toc14681079"/>
      <w:bookmarkStart w:id="6" w:name="_Toc181173729"/>
      <w:r w:rsidRPr="00A902EB">
        <w:rPr>
          <w:rFonts w:ascii="Calibri" w:hAnsi="Calibri" w:cs="Calibri"/>
          <w:color w:val="000000"/>
          <w:sz w:val="22"/>
          <w:lang w:val="el-GR"/>
        </w:rPr>
        <w:t>ΙΙ.2 Πίνακες «Τεχνικής Συμμόρφωσης» των προς Προμήθεια Γενικών Υπηρεσιών]</w:t>
      </w:r>
      <w:bookmarkEnd w:id="4"/>
      <w:bookmarkEnd w:id="5"/>
      <w:bookmarkEnd w:id="6"/>
      <w:r>
        <w:rPr>
          <w:rFonts w:ascii="Calibri" w:hAnsi="Calibri" w:cs="Calibri"/>
          <w:color w:val="000000"/>
          <w:sz w:val="22"/>
          <w:lang w:val="el-GR"/>
        </w:rPr>
        <w:t xml:space="preserve"> </w:t>
      </w:r>
    </w:p>
    <w:p w:rsidR="00E24F7A" w:rsidRDefault="00E24F7A" w:rsidP="00E24F7A">
      <w:pPr>
        <w:tabs>
          <w:tab w:val="left" w:pos="3660"/>
          <w:tab w:val="left" w:pos="3690"/>
        </w:tabs>
        <w:spacing w:before="80" w:line="288" w:lineRule="auto"/>
        <w:ind w:firstLine="425"/>
        <w:rPr>
          <w:color w:val="000000"/>
          <w:szCs w:val="22"/>
          <w:lang w:val="el-GR"/>
        </w:rPr>
      </w:pPr>
      <w:r>
        <w:rPr>
          <w:color w:val="000000"/>
          <w:szCs w:val="22"/>
          <w:lang w:val="el-GR"/>
        </w:rPr>
        <w:t xml:space="preserve">Οι </w:t>
      </w:r>
      <w:r>
        <w:rPr>
          <w:b/>
          <w:color w:val="000000"/>
          <w:szCs w:val="22"/>
          <w:lang w:val="el-GR"/>
        </w:rPr>
        <w:t>Πίνακες “Συμμόρφωσης”</w:t>
      </w:r>
      <w:r>
        <w:rPr>
          <w:color w:val="000000"/>
          <w:szCs w:val="22"/>
          <w:lang w:val="el-GR"/>
        </w:rPr>
        <w:t xml:space="preserve"> (τεχνικής “συμμόρφωσης”) αποτελούν αναπόσπαστο μέρος της παρούσας διακήρυξης και η συμπλήρωση τους είναι υποχρεωτική, και </w:t>
      </w:r>
      <w:r>
        <w:rPr>
          <w:color w:val="000000"/>
          <w:szCs w:val="22"/>
          <w:u w:val="single"/>
          <w:lang w:val="el-GR"/>
        </w:rPr>
        <w:t>θα εμπεριέχονται στην Τεχνική Προσφορά του υποψηφίου</w:t>
      </w:r>
      <w:r>
        <w:rPr>
          <w:color w:val="000000"/>
          <w:szCs w:val="22"/>
          <w:lang w:val="el-GR"/>
        </w:rPr>
        <w:t xml:space="preserve">. Τα απαιτούμενα σύμφωνα με τους Πίνακες Συμμόρφωσης τεχνικά χαρακτηριστικά θεωρούνται όλα σημαντικά και η μη εξολοκλήρου κάλυψή τους ενδέχεται, κατά την κρίση της Ε.Δ.Δ.Α.Π., να αποτελέσει λόγο απόρριψης της προσφοράς. </w:t>
      </w:r>
    </w:p>
    <w:p w:rsidR="00E24F7A" w:rsidRDefault="00E24F7A" w:rsidP="00E24F7A">
      <w:pPr>
        <w:tabs>
          <w:tab w:val="left" w:pos="3660"/>
          <w:tab w:val="left" w:pos="3690"/>
        </w:tabs>
        <w:spacing w:before="80" w:line="288" w:lineRule="auto"/>
        <w:ind w:firstLine="425"/>
        <w:rPr>
          <w:color w:val="000000"/>
          <w:szCs w:val="22"/>
          <w:lang w:val="el-GR"/>
        </w:rPr>
      </w:pPr>
      <w:r>
        <w:rPr>
          <w:color w:val="000000"/>
          <w:szCs w:val="22"/>
          <w:lang w:val="el-GR"/>
        </w:rPr>
        <w:t>Οι Πίνακες Συμμόρφωσης έχουν διαμορφωθεί όπως ακολουθεί και θα συμπληρωθούν υποχρεωτικά σύμφωνα με τις παρακάτω οδηγίες:</w:t>
      </w:r>
    </w:p>
    <w:p w:rsidR="00E24F7A" w:rsidRDefault="00E24F7A" w:rsidP="00E24F7A">
      <w:pPr>
        <w:widowControl w:val="0"/>
        <w:spacing w:before="60" w:line="288" w:lineRule="auto"/>
        <w:ind w:left="550" w:hanging="266"/>
        <w:rPr>
          <w:color w:val="000000"/>
          <w:szCs w:val="22"/>
          <w:lang w:val="el-GR"/>
        </w:rPr>
      </w:pPr>
      <w:r>
        <w:rPr>
          <w:color w:val="000000"/>
          <w:szCs w:val="22"/>
          <w:lang w:val="el-GR"/>
        </w:rPr>
        <w:t>1. Να απαντηθούν υποχρεωτικά μία προς μία οι ερωτήσεις σχετικά με τις τεχνικές προδιαγραφές στη</w:t>
      </w:r>
      <w:r w:rsidRPr="00902B1B">
        <w:rPr>
          <w:color w:val="0000FF"/>
          <w:szCs w:val="22"/>
          <w:lang w:val="el-GR"/>
        </w:rPr>
        <w:t xml:space="preserve"> </w:t>
      </w:r>
      <w:r>
        <w:rPr>
          <w:color w:val="000000"/>
          <w:szCs w:val="22"/>
          <w:lang w:val="el-GR"/>
        </w:rPr>
        <w:t xml:space="preserve">στήλη «Απάντηση», τσεκάροντας τα σχετικά τετραγωνίδια. </w:t>
      </w:r>
    </w:p>
    <w:p w:rsidR="00E24F7A" w:rsidRDefault="00E24F7A" w:rsidP="00E24F7A">
      <w:pPr>
        <w:widowControl w:val="0"/>
        <w:spacing w:line="288" w:lineRule="auto"/>
        <w:ind w:left="550"/>
        <w:rPr>
          <w:color w:val="000000"/>
          <w:szCs w:val="22"/>
          <w:lang w:val="el-GR"/>
        </w:rPr>
      </w:pPr>
      <w:r>
        <w:rPr>
          <w:color w:val="000000"/>
          <w:szCs w:val="22"/>
          <w:lang w:val="el-GR"/>
        </w:rPr>
        <w:t xml:space="preserve">Κλειδί απαντήσεων: </w:t>
      </w:r>
      <w:r>
        <w:rPr>
          <w:b/>
          <w:color w:val="000000"/>
          <w:szCs w:val="22"/>
          <w:lang w:val="el-GR"/>
        </w:rPr>
        <w:t>ΝΑΙ</w:t>
      </w:r>
      <w:r>
        <w:rPr>
          <w:color w:val="000000"/>
          <w:szCs w:val="22"/>
          <w:lang w:val="el-GR"/>
        </w:rPr>
        <w:t xml:space="preserve"> = το προσφερόμενο είδος πληροί τις τεχνικές προδιαγραφές, </w:t>
      </w:r>
      <w:r>
        <w:rPr>
          <w:b/>
          <w:color w:val="000000"/>
          <w:szCs w:val="22"/>
          <w:lang w:val="el-GR"/>
        </w:rPr>
        <w:t>ΟΧΙ</w:t>
      </w:r>
      <w:r>
        <w:rPr>
          <w:color w:val="000000"/>
          <w:szCs w:val="22"/>
          <w:lang w:val="el-GR"/>
        </w:rPr>
        <w:t xml:space="preserve"> = το προσφερόμενο είδος δεν πληροί τις τεχνικές προδιαγραφές, </w:t>
      </w:r>
      <w:r>
        <w:rPr>
          <w:b/>
          <w:color w:val="000000"/>
          <w:szCs w:val="22"/>
          <w:lang w:val="el-GR"/>
        </w:rPr>
        <w:t>ΥΠΕΡ</w:t>
      </w:r>
      <w:r>
        <w:rPr>
          <w:color w:val="000000"/>
          <w:szCs w:val="22"/>
          <w:lang w:val="el-GR"/>
        </w:rPr>
        <w:t xml:space="preserve"> = το προσφερόμενο είδος υπερκαλύπτει τις τεχνικές προδιαγραφές. Εν προκειμένω, πρέπει να δηλωθεί και ο τρόπος της υπερκάλυψης. </w:t>
      </w:r>
    </w:p>
    <w:p w:rsidR="00E24F7A" w:rsidRDefault="00E24F7A" w:rsidP="00E24F7A">
      <w:pPr>
        <w:widowControl w:val="0"/>
        <w:spacing w:before="60" w:line="288" w:lineRule="auto"/>
        <w:ind w:left="550" w:hanging="266"/>
        <w:rPr>
          <w:color w:val="000000"/>
          <w:spacing w:val="-2"/>
          <w:szCs w:val="22"/>
          <w:lang w:val="el-GR"/>
        </w:rPr>
      </w:pPr>
      <w:r>
        <w:rPr>
          <w:color w:val="000000"/>
          <w:szCs w:val="22"/>
          <w:lang w:val="el-GR"/>
        </w:rPr>
        <w:t xml:space="preserve">2. Στη στήλη «Παραπομπή», </w:t>
      </w:r>
      <w:r>
        <w:rPr>
          <w:color w:val="000000"/>
          <w:spacing w:val="-2"/>
          <w:szCs w:val="22"/>
          <w:lang w:val="el-GR"/>
        </w:rPr>
        <w:t xml:space="preserve">καταγράφεται η τεκμηρίωση της κάλυψης ή υπερκάλυψης της αντίστοιχης τεχνικής προδιαγραφής (π.χ. με παραπομπή σε τεχνικό ενημερωτικό φυλλάδιο του κατασκευαστή </w:t>
      </w:r>
      <w:r>
        <w:rPr>
          <w:color w:val="000000"/>
          <w:szCs w:val="22"/>
          <w:lang w:val="el-GR"/>
        </w:rPr>
        <w:t>(</w:t>
      </w:r>
      <w:r>
        <w:rPr>
          <w:color w:val="000000"/>
          <w:szCs w:val="22"/>
          <w:lang w:val="en-US"/>
        </w:rPr>
        <w:t>Prospectus</w:t>
      </w:r>
      <w:r>
        <w:rPr>
          <w:color w:val="000000"/>
          <w:szCs w:val="22"/>
          <w:lang w:val="el-GR"/>
        </w:rPr>
        <w:t xml:space="preserve">) </w:t>
      </w:r>
      <w:r>
        <w:rPr>
          <w:color w:val="000000"/>
          <w:spacing w:val="-2"/>
          <w:szCs w:val="22"/>
          <w:lang w:val="el-GR"/>
        </w:rPr>
        <w:t xml:space="preserve">ή αναλυτική τεχνική περιγραφή των ειδών/υπηρεσιών ή του τρόπου λειτουργίας ή με αναφορά της μεθοδολογίας εγκατάστασης, υποστήριξης και εκπαίδευσης </w:t>
      </w:r>
      <w:proofErr w:type="spellStart"/>
      <w:r>
        <w:rPr>
          <w:color w:val="000000"/>
          <w:spacing w:val="-2"/>
          <w:szCs w:val="22"/>
          <w:lang w:val="el-GR"/>
        </w:rPr>
        <w:t>κλπ</w:t>
      </w:r>
      <w:proofErr w:type="spellEnd"/>
      <w:r>
        <w:rPr>
          <w:color w:val="000000"/>
          <w:spacing w:val="-2"/>
          <w:szCs w:val="22"/>
          <w:lang w:val="el-GR"/>
        </w:rPr>
        <w:t xml:space="preserve">). Είναι ιδιαίτερα επιθυμητή η ευκρινής συμπλήρωση και η συγκεκριμενοποίηση των παραπομπών (π.χ. τεχνικό Φυλλάδιο 3, Σελ. 4, Παράγραφος 4 </w:t>
      </w:r>
      <w:proofErr w:type="spellStart"/>
      <w:r>
        <w:rPr>
          <w:color w:val="000000"/>
          <w:spacing w:val="-2"/>
          <w:szCs w:val="22"/>
          <w:lang w:val="el-GR"/>
        </w:rPr>
        <w:t>κλπ</w:t>
      </w:r>
      <w:proofErr w:type="spellEnd"/>
      <w:r>
        <w:rPr>
          <w:color w:val="000000"/>
          <w:spacing w:val="-2"/>
          <w:szCs w:val="22"/>
          <w:lang w:val="el-GR"/>
        </w:rPr>
        <w:t xml:space="preserve">). </w:t>
      </w:r>
    </w:p>
    <w:p w:rsidR="00E24F7A" w:rsidRPr="00902B1B" w:rsidRDefault="00E24F7A" w:rsidP="00E24F7A">
      <w:pPr>
        <w:tabs>
          <w:tab w:val="left" w:pos="3660"/>
          <w:tab w:val="left" w:pos="3690"/>
        </w:tabs>
        <w:spacing w:before="80" w:line="288" w:lineRule="auto"/>
        <w:ind w:firstLine="425"/>
        <w:rPr>
          <w:b/>
          <w:szCs w:val="22"/>
          <w:lang w:val="el-GR"/>
        </w:rPr>
      </w:pPr>
      <w:r w:rsidRPr="00A902EB">
        <w:rPr>
          <w:b/>
          <w:szCs w:val="22"/>
          <w:lang w:val="el-GR"/>
        </w:rPr>
        <w:t>Τα απαιτούμενα τεχνικά χαρακτηριστικά αποτελούν τις ελάχιστες απαιτήσεις από τις προς προμήθεια γενικές υπηρεσίες και η μη εξολοκλήρου κάλυψή τους θα αποτελέσει λόγο απόρριψης της προσφοράς, τα οποία έχουν διαμορφωθεί αποκλειστικά με μέριμνα και ευθύνη του Επιστημονικά</w:t>
      </w:r>
      <w:r w:rsidRPr="00902B1B">
        <w:rPr>
          <w:b/>
          <w:szCs w:val="22"/>
          <w:lang w:val="el-GR"/>
        </w:rPr>
        <w:t xml:space="preserve"> Υπεύθυνου (Ε.Υ.). </w:t>
      </w:r>
    </w:p>
    <w:p w:rsidR="00E24F7A" w:rsidRPr="00902B1B" w:rsidRDefault="00E24F7A" w:rsidP="00E24F7A">
      <w:pPr>
        <w:tabs>
          <w:tab w:val="left" w:pos="3660"/>
          <w:tab w:val="left" w:pos="3690"/>
        </w:tabs>
        <w:spacing w:before="80" w:line="288" w:lineRule="auto"/>
        <w:ind w:firstLine="425"/>
        <w:rPr>
          <w:b/>
          <w:szCs w:val="22"/>
          <w:lang w:val="el-GR"/>
        </w:rPr>
      </w:pPr>
      <w:r w:rsidRPr="00902B1B">
        <w:rPr>
          <w:b/>
          <w:szCs w:val="22"/>
          <w:lang w:val="el-GR"/>
        </w:rPr>
        <w:t>Επίσης και οι Πίνακες “Συμμόρφωσης” έχουν διαμορφωθεί αποκλειστικά με μέριμνα και ευθύνη του Επιστημονικά Υπεύθυνο (Ε.Υ.).</w:t>
      </w:r>
    </w:p>
    <w:p w:rsidR="00E24F7A" w:rsidRPr="00902B1B" w:rsidRDefault="00E24F7A" w:rsidP="00E24F7A">
      <w:pPr>
        <w:widowControl w:val="0"/>
        <w:spacing w:line="288" w:lineRule="auto"/>
        <w:rPr>
          <w:color w:val="0000FF"/>
          <w:szCs w:val="22"/>
          <w:lang w:val="el-GR"/>
        </w:rPr>
      </w:pPr>
    </w:p>
    <w:p w:rsidR="00E24F7A" w:rsidRDefault="00E24F7A" w:rsidP="00E24F7A">
      <w:pPr>
        <w:pageBreakBefore/>
        <w:tabs>
          <w:tab w:val="left" w:pos="3660"/>
          <w:tab w:val="left" w:pos="3690"/>
        </w:tabs>
        <w:spacing w:before="80" w:line="288" w:lineRule="auto"/>
        <w:rPr>
          <w:b/>
          <w:color w:val="000000"/>
          <w:szCs w:val="22"/>
          <w:lang w:val="el-GR"/>
        </w:rPr>
      </w:pPr>
      <w:r>
        <w:rPr>
          <w:b/>
          <w:color w:val="000000"/>
          <w:szCs w:val="22"/>
          <w:u w:val="single"/>
          <w:lang w:val="el-GR"/>
        </w:rPr>
        <w:lastRenderedPageBreak/>
        <w:t>Πίνακας ΙΙ.1</w:t>
      </w:r>
      <w:r>
        <w:rPr>
          <w:b/>
          <w:color w:val="000000"/>
          <w:szCs w:val="22"/>
          <w:u w:val="single"/>
          <w:lang w:val="en-US"/>
        </w:rPr>
        <w:t>a</w:t>
      </w:r>
      <w:r>
        <w:rPr>
          <w:b/>
          <w:color w:val="000000"/>
          <w:szCs w:val="22"/>
          <w:lang w:val="el-GR"/>
        </w:rPr>
        <w:t>: Πίν</w:t>
      </w:r>
      <w:bookmarkStart w:id="7" w:name="_GoBack"/>
      <w:bookmarkEnd w:id="7"/>
      <w:r>
        <w:rPr>
          <w:b/>
          <w:color w:val="000000"/>
          <w:szCs w:val="22"/>
          <w:lang w:val="el-GR"/>
        </w:rPr>
        <w:t>ακας “Συμμόρφωσης” Τεχνικής Προσφοράς</w:t>
      </w:r>
    </w:p>
    <w:p w:rsidR="00E24F7A" w:rsidRDefault="00E24F7A" w:rsidP="00E24F7A">
      <w:pPr>
        <w:tabs>
          <w:tab w:val="left" w:pos="3660"/>
          <w:tab w:val="left" w:pos="3690"/>
        </w:tabs>
        <w:spacing w:before="80" w:line="288" w:lineRule="auto"/>
        <w:jc w:val="center"/>
        <w:rPr>
          <w:color w:val="000000"/>
          <w:szCs w:val="22"/>
          <w:lang w:val="el-GR"/>
        </w:rPr>
      </w:pPr>
      <w:r w:rsidRPr="003932EB">
        <w:rPr>
          <w:b/>
          <w:bCs/>
          <w:color w:val="000000"/>
          <w:szCs w:val="22"/>
          <w:lang w:val="el-GR" w:eastAsia="el-GR"/>
        </w:rPr>
        <w:t xml:space="preserve">Προμήθεια της Υπηρεσίας «Εμπειρογνωμοσύνη - τεχνική υποστήριξη υλοποίησης του έργου </w:t>
      </w:r>
      <w:proofErr w:type="spellStart"/>
      <w:r w:rsidRPr="003932EB">
        <w:rPr>
          <w:b/>
          <w:bCs/>
          <w:color w:val="000000"/>
          <w:szCs w:val="22"/>
          <w:lang w:val="el-GR" w:eastAsia="el-GR"/>
        </w:rPr>
        <w:t>EfxINNOs</w:t>
      </w:r>
      <w:proofErr w:type="spellEnd"/>
      <w:r w:rsidRPr="003932EB">
        <w:rPr>
          <w:b/>
          <w:bCs/>
          <w:color w:val="000000"/>
          <w:szCs w:val="22"/>
          <w:lang w:val="el-GR" w:eastAsia="el-GR"/>
        </w:rPr>
        <w:t>»</w:t>
      </w:r>
    </w:p>
    <w:tbl>
      <w:tblPr>
        <w:tblW w:w="8520" w:type="dxa"/>
        <w:tblInd w:w="95" w:type="dxa"/>
        <w:tblLook w:val="04A0" w:firstRow="1" w:lastRow="0" w:firstColumn="1" w:lastColumn="0" w:noHBand="0" w:noVBand="1"/>
      </w:tblPr>
      <w:tblGrid>
        <w:gridCol w:w="960"/>
        <w:gridCol w:w="4520"/>
        <w:gridCol w:w="1320"/>
        <w:gridCol w:w="1720"/>
      </w:tblGrid>
      <w:tr w:rsidR="00E24F7A" w:rsidTr="00B02223">
        <w:trPr>
          <w:trHeight w:val="413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 xml:space="preserve">Α/Α </w:t>
            </w:r>
          </w:p>
        </w:tc>
        <w:tc>
          <w:tcPr>
            <w:tcW w:w="4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ΧΑΡΑΚΤΗΡΙΣΤΙΚΑ - ΤΕΧΝΙΚΕΣ ΠΡΟΔΙΑΓΡΑΦΕΣ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ΝΑΙ - ΟΧΙ ΥΠΕΡ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ΠΑΡΑΠΟΜΠΗ</w:t>
            </w:r>
          </w:p>
        </w:tc>
      </w:tr>
      <w:tr w:rsidR="00E24F7A" w:rsidRPr="009C2A74" w:rsidTr="00B02223">
        <w:trPr>
          <w:trHeight w:val="46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F7A" w:rsidRPr="009C2A74" w:rsidRDefault="00E24F7A" w:rsidP="00B02223">
            <w:pPr>
              <w:spacing w:line="288" w:lineRule="auto"/>
              <w:jc w:val="left"/>
              <w:rPr>
                <w:b/>
                <w:bCs/>
                <w:color w:val="0000FF"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F7A" w:rsidRPr="009C2A74" w:rsidRDefault="00E24F7A" w:rsidP="00B02223">
            <w:pPr>
              <w:spacing w:line="288" w:lineRule="auto"/>
              <w:jc w:val="left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F7A" w:rsidRPr="009C2A74" w:rsidRDefault="00E24F7A" w:rsidP="00B02223">
            <w:pPr>
              <w:spacing w:line="288" w:lineRule="auto"/>
              <w:jc w:val="left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F7A" w:rsidRPr="009C2A74" w:rsidRDefault="00E24F7A" w:rsidP="00B02223">
            <w:pPr>
              <w:spacing w:line="288" w:lineRule="auto"/>
              <w:jc w:val="left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315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2" w:color="000000" w:fill="E5E5E5"/>
            <w:vAlign w:val="bottom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Προμήθεια της Υπηρεσίας «Εμπειρογνωμοσύνη - τεχνική υποστήριξη υλοποίησης του έργου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EfxINNOs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»</w:t>
            </w:r>
          </w:p>
        </w:tc>
      </w:tr>
      <w:tr w:rsidR="00E24F7A" w:rsidRPr="00FD1A4D" w:rsidTr="00B02223">
        <w:trPr>
          <w:trHeight w:val="630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Υπηρεσία 1</w:t>
            </w:r>
          </w:p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lang w:val="el-GR"/>
              </w:rPr>
              <w:t xml:space="preserve">Εμπειρογνωμοσύνη - τεχνική υποστήριξη υλοποίησης του έργου </w:t>
            </w:r>
            <w:proofErr w:type="spellStart"/>
            <w:r>
              <w:rPr>
                <w:color w:val="000000"/>
              </w:rPr>
              <w:t>EfxINNOs</w:t>
            </w:r>
            <w:proofErr w:type="spellEnd"/>
          </w:p>
        </w:tc>
      </w:tr>
      <w:tr w:rsidR="00E24F7A" w:rsidRPr="009C2A74" w:rsidTr="00B02223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Υ1.1: Παροχή τεχνικής υποστήριξης στη διαχείριση του έργου.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</w:tr>
      <w:tr w:rsidR="00E24F7A" w:rsidRPr="009C2A74" w:rsidTr="00B02223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Υ1.2: Παροχή διοικητικής υποστήριξης διαχείριση του έργου.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Υ1.3: Παροχή υποστήριξης υλοποίησης του οικονομικού αντικειμένου του έργου.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Υ1.4: Παροχή τεχνικής υποστήριξης διασφάλισης ποιότητας υλοποίησης του έργου.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Υ1.5: Παροχή τεχνικής υποστήριξης επικοινωνίας του έργου.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Υ1.6: Παροχή τεχνικής υποστήριξης παρουσίας του έργου σε κοινωνικά δίκτυα.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885"/>
        </w:trPr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Pr="002D4F7D" w:rsidRDefault="00E24F7A" w:rsidP="00B02223">
            <w:pPr>
              <w:widowControl w:val="0"/>
              <w:spacing w:before="40" w:after="40" w:line="288" w:lineRule="auto"/>
              <w:ind w:left="1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Υ2.1: Διαχείριση και ανάλυση δεδομένων με Υπεύθυνο Μηχανικό Περιβάλλοντος (</w:t>
            </w:r>
            <w:proofErr w:type="spellStart"/>
            <w:r>
              <w:rPr>
                <w:rFonts w:eastAsia="SimSun"/>
                <w:color w:val="000000"/>
                <w:szCs w:val="22"/>
                <w:lang w:val="el-GR"/>
              </w:rPr>
              <w:t>phD</w:t>
            </w:r>
            <w:proofErr w:type="spellEnd"/>
            <w:r>
              <w:rPr>
                <w:rFonts w:eastAsia="SimSun"/>
                <w:color w:val="000000"/>
                <w:szCs w:val="22"/>
                <w:lang w:val="el-GR"/>
              </w:rPr>
              <w:t>).</w:t>
            </w:r>
          </w:p>
          <w:p w:rsidR="00E24F7A" w:rsidRPr="002D4F7D" w:rsidRDefault="00E24F7A" w:rsidP="00B02223">
            <w:pPr>
              <w:widowControl w:val="0"/>
              <w:spacing w:before="40" w:after="40" w:line="288" w:lineRule="auto"/>
              <w:ind w:left="1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Υ2.2: Έρευνα, συλλογή και βασική διαχείριση δεδομένων με Μηχανικό Περιβάλλοντος.</w:t>
            </w:r>
          </w:p>
          <w:p w:rsidR="00E24F7A" w:rsidRPr="002D4F7D" w:rsidRDefault="00E24F7A" w:rsidP="00B02223">
            <w:pPr>
              <w:widowControl w:val="0"/>
              <w:spacing w:before="40" w:after="40" w:line="288" w:lineRule="auto"/>
              <w:ind w:left="1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Υ2.3: Ανάλυση δεδομένων με Γεωγραφικά Πληροφοριακά Συστήματα και Μηχανική Μάθηση, με επιστήμονα πληροφορικής.</w:t>
            </w:r>
          </w:p>
          <w:p w:rsidR="00E24F7A" w:rsidRDefault="00E24F7A" w:rsidP="00B02223">
            <w:pPr>
              <w:spacing w:line="288" w:lineRule="auto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Υ2.4: Ανάλυση δεδομένων με Γεωγραφικά Πληροφοριακά Συστήματα, με βιολόγο ή άλλον επιστήμονα συναφούς αντικειμένου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uppressAutoHyphens w:val="0"/>
              <w:autoSpaceDE w:val="0"/>
              <w:spacing w:after="60"/>
              <w:jc w:val="center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Οι υπηρεσίες Υ2.1, Υ2.2, Υ2.3, Υ2.4 ενσωματώνονται στην υλοποίηση των δράσεων</w:t>
            </w:r>
          </w:p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Α1.1, Α1.2, Α1.6, Α1.7,</w:t>
            </w:r>
            <w:r>
              <w:rPr>
                <w:rFonts w:eastAsia="SimSun"/>
                <w:color w:val="000000"/>
                <w:szCs w:val="22"/>
                <w:lang w:val="el-GR"/>
              </w:rPr>
              <w:br/>
              <w:t>Α1.8, Α1.9,</w:t>
            </w:r>
            <w:r>
              <w:rPr>
                <w:rFonts w:eastAsia="SimSun"/>
                <w:color w:val="000000"/>
                <w:szCs w:val="22"/>
                <w:lang w:val="el-GR"/>
              </w:rPr>
              <w:br/>
              <w:t>Α1.10, Α1.11, Α1.12, Α1.15</w:t>
            </w:r>
          </w:p>
        </w:tc>
      </w:tr>
      <w:tr w:rsidR="00E24F7A" w:rsidRPr="00024009" w:rsidTr="00B02223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Cs w:val="22"/>
                <w:lang w:val="el-GR"/>
              </w:rPr>
              <w:t xml:space="preserve">Α1.1 Προσδιορισμός περιοχών ενδιαφέροντος για τη μελέτη </w:t>
            </w:r>
            <w:proofErr w:type="spellStart"/>
            <w:r>
              <w:rPr>
                <w:color w:val="000000"/>
                <w:szCs w:val="22"/>
                <w:lang w:val="el-GR"/>
              </w:rPr>
              <w:t>βενθικών</w:t>
            </w:r>
            <w:proofErr w:type="spellEnd"/>
            <w:r>
              <w:rPr>
                <w:color w:val="000000"/>
                <w:szCs w:val="22"/>
                <w:lang w:val="el-GR"/>
              </w:rPr>
              <w:t xml:space="preserve"> ενδιαιτημάτων.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4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lastRenderedPageBreak/>
              <w:t>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Cs w:val="22"/>
                <w:lang w:val="el-GR"/>
              </w:rPr>
              <w:t xml:space="preserve">Α1.2 Προσδιορισμός μιας περιοχής ενδιαφέροντος για την εγκατάσταση ωκεανογραφικού πλωτήρα </w:t>
            </w:r>
            <w:r w:rsidRPr="00A00556">
              <w:rPr>
                <w:color w:val="000000"/>
                <w:szCs w:val="22"/>
                <w:lang w:val="el-GR"/>
              </w:rPr>
              <w:t>φυσικοχημικ</w:t>
            </w:r>
            <w:r>
              <w:rPr>
                <w:color w:val="000000"/>
                <w:szCs w:val="22"/>
                <w:lang w:val="el-GR"/>
              </w:rPr>
              <w:t>ής παρακολούθησης.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Cs w:val="22"/>
                <w:lang w:val="el-GR"/>
              </w:rPr>
              <w:t xml:space="preserve">Α1.6 Συλλογή και εναρμόνιση δεδομένων, εικόνων και βίντεο από </w:t>
            </w:r>
            <w:r>
              <w:rPr>
                <w:color w:val="000000"/>
                <w:szCs w:val="22"/>
              </w:rPr>
              <w:t>AUV</w:t>
            </w:r>
            <w:r>
              <w:rPr>
                <w:color w:val="000000"/>
                <w:szCs w:val="22"/>
                <w:lang w:val="el-GR"/>
              </w:rPr>
              <w:t xml:space="preserve"> και </w:t>
            </w:r>
            <w:r>
              <w:rPr>
                <w:color w:val="000000"/>
                <w:szCs w:val="22"/>
              </w:rPr>
              <w:t>ROV</w:t>
            </w:r>
            <w:r>
              <w:rPr>
                <w:color w:val="000000"/>
                <w:szCs w:val="22"/>
                <w:lang w:val="el-GR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10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Cs w:val="22"/>
                <w:lang w:val="el-GR"/>
              </w:rPr>
              <w:t>Α1.7 Επεξεργασία δεδομένων, εικόνων και βίντεο από σόναρ πλευρικής σάρωσης χρησιμοποιώντας εργαλεία μηχανικής μάθησης και τεχνητής νοημοσύνης και οριοθέτηση βασικών ενδιαιτημάτων.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11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Cs w:val="22"/>
                <w:lang w:val="el-GR"/>
              </w:rPr>
              <w:t xml:space="preserve">Α1.8 Αξιολόγηση της υγείας των </w:t>
            </w:r>
            <w:proofErr w:type="spellStart"/>
            <w:r>
              <w:rPr>
                <w:color w:val="000000"/>
                <w:szCs w:val="22"/>
                <w:lang w:val="el-GR"/>
              </w:rPr>
              <w:t>βενθικών</w:t>
            </w:r>
            <w:proofErr w:type="spellEnd"/>
            <w:r>
              <w:rPr>
                <w:color w:val="000000"/>
                <w:szCs w:val="22"/>
                <w:lang w:val="el-GR"/>
              </w:rPr>
              <w:t xml:space="preserve"> ενδιαιτημάτων σε σχέση με τις περιβαλλοντικές συνθήκες και τις ανθρώπινες επιπτώσεις.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12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Cs w:val="22"/>
                <w:lang w:val="el-GR"/>
              </w:rPr>
              <w:t xml:space="preserve">Α1.9 Ανάλυση φυσικοχημικών δεδομένων που συλλέγονται από τον επιφανειακό ωκεανογραφικό πλωτήρα, και εφαρμογή μοντέλων </w:t>
            </w:r>
            <w:r>
              <w:rPr>
                <w:color w:val="000000"/>
                <w:szCs w:val="22"/>
              </w:rPr>
              <w:t>ML</w:t>
            </w:r>
            <w:r>
              <w:rPr>
                <w:color w:val="000000"/>
                <w:szCs w:val="22"/>
                <w:lang w:val="el-GR"/>
              </w:rPr>
              <w:t xml:space="preserve"> και </w:t>
            </w:r>
            <w:r>
              <w:rPr>
                <w:color w:val="000000"/>
                <w:szCs w:val="22"/>
              </w:rPr>
              <w:t>AI</w:t>
            </w:r>
            <w:r>
              <w:rPr>
                <w:color w:val="000000"/>
                <w:szCs w:val="22"/>
                <w:lang w:val="el-GR"/>
              </w:rPr>
              <w:t xml:space="preserve"> για βραχυπρόθεσμες προβλέψεις και επικύρωση δορυφορικών μετρήσεων.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13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Cs w:val="22"/>
                <w:lang w:val="el-GR"/>
              </w:rPr>
              <w:t>Α1.10 Αξιολόγηση της παρουσίας θαλάσσιων απορριμμάτων και θαλάσσιων κινδύνου ρύπανσης στην περιοχή μελέτης.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14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Cs w:val="22"/>
                <w:lang w:val="el-GR"/>
              </w:rPr>
              <w:t>Α1.11 Συστάσεις πολιτικής για το θαλάσσιο περιβάλλον στην περιοχή μελέτης.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15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Cs w:val="22"/>
                <w:lang w:val="el-GR"/>
              </w:rPr>
              <w:t xml:space="preserve">Α1.12: Παραγωγή βίντεο για την κατάσταση του </w:t>
            </w:r>
            <w:proofErr w:type="spellStart"/>
            <w:r>
              <w:rPr>
                <w:color w:val="000000"/>
                <w:szCs w:val="22"/>
                <w:lang w:val="el-GR"/>
              </w:rPr>
              <w:t>βενθικού</w:t>
            </w:r>
            <w:proofErr w:type="spellEnd"/>
            <w:r>
              <w:rPr>
                <w:color w:val="000000"/>
                <w:szCs w:val="22"/>
                <w:lang w:val="el-GR"/>
              </w:rPr>
              <w:t xml:space="preserve"> οικοσυστήματος και απειλές.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16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Cs w:val="22"/>
                <w:lang w:val="el-GR"/>
              </w:rPr>
              <w:t xml:space="preserve">Α1.15: Διαμοίραση δεδομένων και αποτελεσμάτων με το δίκτυο Θαλάσσιας Παρακολούθησης </w:t>
            </w:r>
            <w:r>
              <w:rPr>
                <w:color w:val="000000"/>
                <w:szCs w:val="22"/>
              </w:rPr>
              <w:t>Copernicus</w:t>
            </w:r>
            <w:r>
              <w:rPr>
                <w:color w:val="000000"/>
                <w:szCs w:val="22"/>
                <w:lang w:val="el-GR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885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Υπηρεσία</w:t>
            </w:r>
            <w:r>
              <w:rPr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2</w:t>
            </w:r>
          </w:p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lang w:val="el-GR"/>
              </w:rPr>
              <w:t>Οργάνωση Δημόσιων εκδηλώσεων</w:t>
            </w:r>
          </w:p>
        </w:tc>
      </w:tr>
      <w:tr w:rsidR="00E24F7A" w:rsidRPr="00024009" w:rsidTr="00B02223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17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Cs w:val="22"/>
                <w:lang w:val="el-GR"/>
              </w:rPr>
              <w:t>Π2.1: Οργάνωση άτυπης κατάρτισης 3 ημέρων.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18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Cs w:val="22"/>
              </w:rPr>
              <w:t>Π2.2: Παρα</w:t>
            </w:r>
            <w:proofErr w:type="spellStart"/>
            <w:r>
              <w:rPr>
                <w:color w:val="000000"/>
                <w:szCs w:val="22"/>
              </w:rPr>
              <w:t>γωγή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υλικού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διάχυσης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lastRenderedPageBreak/>
              <w:t>19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Cs w:val="22"/>
                <w:lang w:val="el-GR"/>
              </w:rPr>
              <w:t>Π2.3: Παραγωγή ενημερωτικού φυλλαδίου (</w:t>
            </w:r>
            <w:r>
              <w:rPr>
                <w:color w:val="000000"/>
                <w:szCs w:val="22"/>
              </w:rPr>
              <w:t>leaflet</w:t>
            </w:r>
            <w:r>
              <w:rPr>
                <w:color w:val="000000"/>
                <w:szCs w:val="22"/>
                <w:lang w:val="el-GR"/>
              </w:rPr>
              <w:t>).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20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Cs w:val="22"/>
              </w:rPr>
              <w:t>Π2.4: Παρα</w:t>
            </w:r>
            <w:proofErr w:type="spellStart"/>
            <w:r>
              <w:rPr>
                <w:color w:val="000000"/>
                <w:szCs w:val="22"/>
              </w:rPr>
              <w:t>γωγή</w:t>
            </w:r>
            <w:proofErr w:type="spellEnd"/>
            <w:r>
              <w:rPr>
                <w:color w:val="000000"/>
                <w:szCs w:val="22"/>
              </w:rPr>
              <w:t xml:space="preserve"> μπ</w:t>
            </w:r>
            <w:proofErr w:type="spellStart"/>
            <w:r>
              <w:rPr>
                <w:color w:val="000000"/>
                <w:szCs w:val="22"/>
              </w:rPr>
              <w:t>άνερ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21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Cs w:val="22"/>
              </w:rPr>
              <w:t xml:space="preserve">Π2.5: </w:t>
            </w:r>
            <w:proofErr w:type="spellStart"/>
            <w:r>
              <w:rPr>
                <w:color w:val="000000"/>
                <w:szCs w:val="22"/>
              </w:rPr>
              <w:t>Οργάνωση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συνέντευξης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τύ</w:t>
            </w:r>
            <w:proofErr w:type="spellEnd"/>
            <w:r>
              <w:rPr>
                <w:color w:val="000000"/>
                <w:szCs w:val="22"/>
              </w:rPr>
              <w:t>που.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22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Cs w:val="22"/>
                <w:lang w:val="el-GR"/>
              </w:rPr>
              <w:t xml:space="preserve">Π2.6: Παραγωγή της διεθνούς αναφοράς του έργου </w:t>
            </w:r>
            <w:proofErr w:type="spellStart"/>
            <w:r>
              <w:rPr>
                <w:color w:val="000000"/>
                <w:szCs w:val="22"/>
              </w:rPr>
              <w:t>EfxINNOs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23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Cs w:val="22"/>
                <w:lang w:val="el-GR"/>
              </w:rPr>
              <w:t>Π2.7: Οργάνωση τοπικού εργαστηρίου (</w:t>
            </w:r>
            <w:r>
              <w:rPr>
                <w:color w:val="000000"/>
                <w:szCs w:val="22"/>
              </w:rPr>
              <w:t>workshop</w:t>
            </w:r>
            <w:r>
              <w:rPr>
                <w:color w:val="000000"/>
                <w:szCs w:val="22"/>
                <w:lang w:val="el-GR"/>
              </w:rPr>
              <w:t>) (διαδικτυακά)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24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Cs w:val="22"/>
                <w:lang w:val="el-GR"/>
              </w:rPr>
              <w:t xml:space="preserve">Π2.8: Οργάνωση και διευκόλυνση υλοποίησης του περιφερειακού </w:t>
            </w:r>
            <w:proofErr w:type="spellStart"/>
            <w:r>
              <w:rPr>
                <w:color w:val="000000"/>
                <w:szCs w:val="22"/>
              </w:rPr>
              <w:t>Hacathlon</w:t>
            </w:r>
            <w:proofErr w:type="spellEnd"/>
            <w:r>
              <w:rPr>
                <w:color w:val="000000"/>
                <w:szCs w:val="22"/>
                <w:lang w:val="el-GR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24F7A" w:rsidRPr="00024009" w:rsidTr="00B02223">
        <w:trPr>
          <w:trHeight w:val="885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lang w:val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Υπηρεσία 3</w:t>
            </w:r>
          </w:p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lang w:val="el-GR"/>
              </w:rPr>
              <w:t xml:space="preserve">Προετοιμασία συμμετοχής εξωτερικών συνεργατών, εμπλεκομένων μερών ή/και συμμετεχόντων σε εκδηλώσεις </w:t>
            </w:r>
            <w:proofErr w:type="spellStart"/>
            <w:r>
              <w:rPr>
                <w:color w:val="000000"/>
                <w:lang w:val="en-US"/>
              </w:rPr>
              <w:t>Hacathlon</w:t>
            </w:r>
            <w:proofErr w:type="spellEnd"/>
            <w:r>
              <w:rPr>
                <w:color w:val="000000"/>
                <w:lang w:val="el-GR"/>
              </w:rPr>
              <w:t>, σε δράσεις εκτός Ελλάδος</w:t>
            </w:r>
          </w:p>
        </w:tc>
      </w:tr>
      <w:tr w:rsidR="00E24F7A" w:rsidRPr="00024009" w:rsidTr="00B02223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rFonts w:eastAsia="SimSun"/>
                <w:color w:val="000000"/>
                <w:szCs w:val="22"/>
                <w:lang w:val="el-GR"/>
              </w:rPr>
            </w:pPr>
            <w:r>
              <w:rPr>
                <w:rFonts w:eastAsia="SimSun"/>
                <w:color w:val="000000"/>
                <w:szCs w:val="22"/>
                <w:lang w:val="el-GR"/>
              </w:rPr>
              <w:t>25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Cs w:val="22"/>
                <w:lang w:val="el-GR"/>
              </w:rPr>
              <w:t xml:space="preserve">Π3.1: Προετοιμασία συμμετοχής εξωτερικών συνεργατών, εμπλεκομένων μερών ή/και συμμετεχόντων σε εκδηλώσεις </w:t>
            </w:r>
            <w:proofErr w:type="spellStart"/>
            <w:r>
              <w:rPr>
                <w:color w:val="000000"/>
                <w:szCs w:val="22"/>
              </w:rPr>
              <w:t>Hacathlon</w:t>
            </w:r>
            <w:proofErr w:type="spellEnd"/>
            <w:r>
              <w:rPr>
                <w:color w:val="000000"/>
                <w:szCs w:val="22"/>
                <w:lang w:val="el-GR"/>
              </w:rPr>
              <w:t>, σε δράσεις εκτός Ελλάδος.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A" w:rsidRDefault="00E24F7A" w:rsidP="00B02223">
            <w:pPr>
              <w:spacing w:line="288" w:lineRule="auto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□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F7A" w:rsidRDefault="00E24F7A" w:rsidP="00B02223">
            <w:pPr>
              <w:spacing w:line="288" w:lineRule="auto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DE725E" w:rsidRDefault="00E24F7A"/>
    <w:sectPr w:rsidR="00DE7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F7A" w:rsidRDefault="00E24F7A" w:rsidP="00E24F7A">
      <w:pPr>
        <w:spacing w:after="0"/>
      </w:pPr>
      <w:r>
        <w:separator/>
      </w:r>
    </w:p>
  </w:endnote>
  <w:endnote w:type="continuationSeparator" w:id="0">
    <w:p w:rsidR="00E24F7A" w:rsidRDefault="00E24F7A" w:rsidP="00E24F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F7A" w:rsidRDefault="00E24F7A" w:rsidP="00E24F7A">
      <w:pPr>
        <w:spacing w:after="0"/>
      </w:pPr>
      <w:r>
        <w:separator/>
      </w:r>
    </w:p>
  </w:footnote>
  <w:footnote w:type="continuationSeparator" w:id="0">
    <w:p w:rsidR="00E24F7A" w:rsidRDefault="00E24F7A" w:rsidP="00E24F7A">
      <w:pPr>
        <w:spacing w:after="0"/>
      </w:pPr>
      <w:r>
        <w:continuationSeparator/>
      </w:r>
    </w:p>
  </w:footnote>
  <w:footnote w:id="1">
    <w:p w:rsidR="00E24F7A" w:rsidRPr="00BD2E1B" w:rsidRDefault="00E24F7A" w:rsidP="00E24F7A">
      <w:pPr>
        <w:pStyle w:val="a4"/>
        <w:rPr>
          <w:lang w:val="en-US"/>
        </w:rPr>
      </w:pPr>
      <w:r w:rsidRPr="0020170F">
        <w:rPr>
          <w:rStyle w:val="a3"/>
        </w:rPr>
        <w:footnoteRef/>
      </w:r>
      <w:r w:rsidRPr="00BD2E1B">
        <w:rPr>
          <w:lang w:val="en-US"/>
        </w:rPr>
        <w:t xml:space="preserve"> </w:t>
      </w:r>
      <w:r w:rsidRPr="0037460C">
        <w:rPr>
          <w:b/>
          <w:i/>
          <w:szCs w:val="18"/>
        </w:rPr>
        <w:t>CPV</w:t>
      </w:r>
      <w:r w:rsidRPr="00BD2E1B">
        <w:rPr>
          <w:i/>
          <w:szCs w:val="18"/>
          <w:lang w:val="en-US"/>
        </w:rPr>
        <w:t xml:space="preserve">: </w:t>
      </w:r>
      <w:r w:rsidRPr="0037460C">
        <w:rPr>
          <w:i/>
          <w:szCs w:val="18"/>
          <w:lang w:eastAsia="el-GR"/>
        </w:rPr>
        <w:t>COMMON</w:t>
      </w:r>
      <w:r w:rsidRPr="00BD2E1B">
        <w:rPr>
          <w:i/>
          <w:szCs w:val="18"/>
          <w:lang w:val="en-US" w:eastAsia="el-GR"/>
        </w:rPr>
        <w:t xml:space="preserve"> </w:t>
      </w:r>
      <w:r w:rsidRPr="0037460C">
        <w:rPr>
          <w:i/>
          <w:szCs w:val="18"/>
          <w:lang w:eastAsia="el-GR"/>
        </w:rPr>
        <w:t>PROCUREMENT</w:t>
      </w:r>
      <w:r w:rsidRPr="00BD2E1B">
        <w:rPr>
          <w:i/>
          <w:szCs w:val="18"/>
          <w:lang w:val="en-US" w:eastAsia="el-GR"/>
        </w:rPr>
        <w:t xml:space="preserve"> </w:t>
      </w:r>
      <w:r w:rsidRPr="0037460C">
        <w:rPr>
          <w:i/>
          <w:szCs w:val="18"/>
          <w:lang w:eastAsia="el-GR"/>
        </w:rPr>
        <w:t>VOCABULARY</w:t>
      </w:r>
      <w:r w:rsidRPr="00BD2E1B">
        <w:rPr>
          <w:lang w:val="en-US"/>
        </w:rPr>
        <w:t xml:space="preserve"> </w:t>
      </w:r>
    </w:p>
  </w:footnote>
  <w:footnote w:id="2">
    <w:p w:rsidR="00E24F7A" w:rsidRPr="00BD2E1B" w:rsidRDefault="00E24F7A" w:rsidP="00E24F7A">
      <w:pPr>
        <w:pStyle w:val="a4"/>
        <w:rPr>
          <w:lang w:val="en-US"/>
        </w:rPr>
      </w:pPr>
      <w:r w:rsidRPr="0020170F">
        <w:rPr>
          <w:rStyle w:val="a3"/>
        </w:rPr>
        <w:footnoteRef/>
      </w:r>
      <w:r w:rsidRPr="00BD2E1B">
        <w:rPr>
          <w:lang w:val="en-US"/>
        </w:rPr>
        <w:t xml:space="preserve"> </w:t>
      </w:r>
      <w:r w:rsidRPr="0037460C">
        <w:rPr>
          <w:b/>
          <w:i/>
          <w:szCs w:val="18"/>
        </w:rPr>
        <w:t>CPV</w:t>
      </w:r>
      <w:r w:rsidRPr="00BD2E1B">
        <w:rPr>
          <w:i/>
          <w:szCs w:val="18"/>
          <w:lang w:val="en-US"/>
        </w:rPr>
        <w:t xml:space="preserve">: </w:t>
      </w:r>
      <w:r w:rsidRPr="0037460C">
        <w:rPr>
          <w:i/>
          <w:szCs w:val="18"/>
          <w:lang w:eastAsia="el-GR"/>
        </w:rPr>
        <w:t>COMMON</w:t>
      </w:r>
      <w:r w:rsidRPr="00BD2E1B">
        <w:rPr>
          <w:i/>
          <w:szCs w:val="18"/>
          <w:lang w:val="en-US" w:eastAsia="el-GR"/>
        </w:rPr>
        <w:t xml:space="preserve"> </w:t>
      </w:r>
      <w:r w:rsidRPr="0037460C">
        <w:rPr>
          <w:i/>
          <w:szCs w:val="18"/>
          <w:lang w:eastAsia="el-GR"/>
        </w:rPr>
        <w:t>PROCUREMENT</w:t>
      </w:r>
      <w:r w:rsidRPr="00BD2E1B">
        <w:rPr>
          <w:i/>
          <w:szCs w:val="18"/>
          <w:lang w:val="en-US" w:eastAsia="el-GR"/>
        </w:rPr>
        <w:t xml:space="preserve"> </w:t>
      </w:r>
      <w:r w:rsidRPr="0037460C">
        <w:rPr>
          <w:i/>
          <w:szCs w:val="18"/>
          <w:lang w:eastAsia="el-GR"/>
        </w:rPr>
        <w:t>VOCABULARY</w:t>
      </w:r>
      <w:r w:rsidRPr="00BD2E1B">
        <w:rPr>
          <w:lang w:val="en-US"/>
        </w:rPr>
        <w:t xml:space="preserve"> </w:t>
      </w:r>
    </w:p>
  </w:footnote>
  <w:footnote w:id="3">
    <w:p w:rsidR="00E24F7A" w:rsidRPr="00BD2E1B" w:rsidRDefault="00E24F7A" w:rsidP="00E24F7A">
      <w:pPr>
        <w:pStyle w:val="a4"/>
        <w:rPr>
          <w:lang w:val="en-US"/>
        </w:rPr>
      </w:pPr>
      <w:r w:rsidRPr="0020170F">
        <w:rPr>
          <w:rStyle w:val="a3"/>
        </w:rPr>
        <w:footnoteRef/>
      </w:r>
      <w:r w:rsidRPr="00BD2E1B">
        <w:rPr>
          <w:lang w:val="en-US"/>
        </w:rPr>
        <w:t xml:space="preserve"> </w:t>
      </w:r>
      <w:r w:rsidRPr="0037460C">
        <w:rPr>
          <w:b/>
          <w:i/>
          <w:szCs w:val="18"/>
        </w:rPr>
        <w:t>CPV</w:t>
      </w:r>
      <w:r w:rsidRPr="00BD2E1B">
        <w:rPr>
          <w:i/>
          <w:szCs w:val="18"/>
          <w:lang w:val="en-US"/>
        </w:rPr>
        <w:t xml:space="preserve">: </w:t>
      </w:r>
      <w:r w:rsidRPr="0037460C">
        <w:rPr>
          <w:i/>
          <w:szCs w:val="18"/>
          <w:lang w:eastAsia="el-GR"/>
        </w:rPr>
        <w:t>COMMON</w:t>
      </w:r>
      <w:r w:rsidRPr="00BD2E1B">
        <w:rPr>
          <w:i/>
          <w:szCs w:val="18"/>
          <w:lang w:val="en-US" w:eastAsia="el-GR"/>
        </w:rPr>
        <w:t xml:space="preserve"> </w:t>
      </w:r>
      <w:r w:rsidRPr="0037460C">
        <w:rPr>
          <w:i/>
          <w:szCs w:val="18"/>
          <w:lang w:eastAsia="el-GR"/>
        </w:rPr>
        <w:t>PROCUREMENT</w:t>
      </w:r>
      <w:r w:rsidRPr="00BD2E1B">
        <w:rPr>
          <w:i/>
          <w:szCs w:val="18"/>
          <w:lang w:val="en-US" w:eastAsia="el-GR"/>
        </w:rPr>
        <w:t xml:space="preserve"> </w:t>
      </w:r>
      <w:r w:rsidRPr="0037460C">
        <w:rPr>
          <w:i/>
          <w:szCs w:val="18"/>
          <w:lang w:eastAsia="el-GR"/>
        </w:rPr>
        <w:t>VOCABULARY</w:t>
      </w:r>
      <w:r w:rsidRPr="00BD2E1B">
        <w:rPr>
          <w:lang w:val="en-US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7A"/>
    <w:rsid w:val="002731E5"/>
    <w:rsid w:val="00291722"/>
    <w:rsid w:val="00E2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2054F-8A63-477D-BCF6-C313CB54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F7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E24F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E24F7A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E24F7A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a3">
    <w:name w:val="Χαρακτήρες υποσημείωσης"/>
    <w:rsid w:val="00E24F7A"/>
    <w:rPr>
      <w:rFonts w:cs="Times New Roman"/>
      <w:vertAlign w:val="superscript"/>
    </w:rPr>
  </w:style>
  <w:style w:type="character" w:customStyle="1" w:styleId="WW-FootnoteReference15">
    <w:name w:val="WW-Footnote Reference15"/>
    <w:rsid w:val="00E24F7A"/>
    <w:rPr>
      <w:vertAlign w:val="superscript"/>
    </w:rPr>
  </w:style>
  <w:style w:type="paragraph" w:styleId="a4">
    <w:name w:val="footnote text"/>
    <w:basedOn w:val="a"/>
    <w:link w:val="Char"/>
    <w:rsid w:val="00E24F7A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">
    <w:name w:val="Κείμενο υποσημείωσης Char"/>
    <w:basedOn w:val="a0"/>
    <w:link w:val="a4"/>
    <w:rsid w:val="00E24F7A"/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1Char">
    <w:name w:val="Επικεφαλίδα 1 Char"/>
    <w:basedOn w:val="a0"/>
    <w:link w:val="1"/>
    <w:uiPriority w:val="9"/>
    <w:rsid w:val="00E24F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1628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Πολύμνια Χαχαμοπούλου</dc:creator>
  <cp:keywords/>
  <dc:description/>
  <cp:lastModifiedBy>Πολύμνια Χαχαμοπούλου</cp:lastModifiedBy>
  <cp:revision>1</cp:revision>
  <dcterms:created xsi:type="dcterms:W3CDTF">2024-10-30T09:45:00Z</dcterms:created>
  <dcterms:modified xsi:type="dcterms:W3CDTF">2024-10-30T09:47:00Z</dcterms:modified>
</cp:coreProperties>
</file>