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649" w:rsidRDefault="00C35546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after="120" w:line="288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Πίνακας ΙΙ.1a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: Πίνακας “Συμμόρφωσης” Τεχνικής Προσφοράς </w:t>
      </w:r>
    </w:p>
    <w:tbl>
      <w:tblPr>
        <w:tblStyle w:val="afffffffff0"/>
        <w:tblW w:w="9450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960"/>
        <w:gridCol w:w="5595"/>
        <w:gridCol w:w="1245"/>
        <w:gridCol w:w="1650"/>
      </w:tblGrid>
      <w:tr w:rsidR="003C4649">
        <w:trPr>
          <w:cantSplit/>
          <w:trHeight w:val="413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 xml:space="preserve">Α/Α </w:t>
            </w:r>
          </w:p>
        </w:tc>
        <w:tc>
          <w:tcPr>
            <w:tcW w:w="5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ΧΑΡΑΚΤΗΡΙΣΤΙΚΑ - ΤΕΧΝΙΚΕΣ ΠΡΟΔΙΑΓΡΑΦΕΣ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ΝΑΙ - ΟΧΙ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ΠΑΡΑΠΟΜΠΗ</w:t>
            </w:r>
          </w:p>
        </w:tc>
      </w:tr>
      <w:tr w:rsidR="003C4649">
        <w:trPr>
          <w:cantSplit/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3C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3C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3C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3C4649" w:rsidRDefault="003C4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Ποτήρια Ζέσεως Γυάλινα με στόμιο H.D.A 100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ml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ΧΩΡΗΤΙΚΟΤΗΤΑ: 100ml 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ΓΥΑΛΙΝΟ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Boro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3.3, με στόμιο εκροής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□ □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Ποτήρια Ζέσεως Γυάλινα με στόμιο H.D.A 250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ml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ΧΩΡΗΤΙΚΟΤΗΤΑ 250ml 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ΓΥΑΛΙΝΟ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Boro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3.3, με στόμιο εκροής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Ογκομετρικός σωλήνας  100ml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Σχήμα: ΚΥΛΙΝΔΡΟΣ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ΧΩΡΗΤΙΚΟΤΗΤΑ: 100ml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ΥΑΛΙΝΟΣ με στόμιο εκροής και με διαβάθμιση ανά 1ml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Ογκομετρικός σωλήνας 250ml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Σχήμα: ΚΥΛΙΝΔΡΟΣ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ΧΩΡΗΤΙΚΟΤΗΤΑ 250ml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ΥΑΛΙΝΟΣ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στόμιο εκροής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διαβάθμιση ανά 2ml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Ογκομετρικός σωλήνας 25ml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Σχήμα: ΚΥΛΙΝΔΡΟΣ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ΧΩΡΗΤΙΚΟΤΗΤΑ 25ml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ΥΑΛΙΝΟΣ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στόμιο εκροής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διαβάθμιση ανά 0.5ml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Σετ Δοκιμαστικοί σωλήνες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ΔΙΑΣΤΑΣΕΙΣ 21mm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diam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x 150mm ΥΨΟΣ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ΓΥΑΛΙΝΟΙ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ΣΕΤ 100 τεμαχίων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Ψήκτρα καθαρισμού δοκιμαστικών σωλήνων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ΣΕΤ από 3 ψήκτρες για δοκιμαστικούς σωλήνες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Πιπέτα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αυτόματη 12 καναλιών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Πιπέτα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παστερίωσης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Από πολυαιθυλένιο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Μήκος: 160mm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ΣΕΤ 100 τεμαχίων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Φίλτρα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πιπέτας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br/>
              <w:t>ΠΟΥΑΡ τριών βαλβίδων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σφαίρα διαμέτρου 5cm από καουτσούκ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τρεις βαλβίδες (A, S, E)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Μπουκάλι με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σταγονομετρητή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ΓΥΑΛΙΝΗ ΦΙΑΛΗ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Χωρητικότητας 50ml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βιδωτό καπάκι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Να διαθέτει γυάλινο σταγονόμετρο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γυαλί σκουρόχρωμο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amber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glass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Φιάλη με πώμα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ΓΥΑΛΙΝΗ ΚΩΝΙΚΗ ΦΙΑΛΗ 1000ml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γυάλινο πώμα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Δοχείο δειγμάτων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ΣΕΤ ΠΛΑΣΤΙΚΩΝ ΔΟΧΕΙΩΝ ΔΕΙΓΜΑΤΩΝ 60ml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να περιλαμβάνει 50 πλαστικά δοχεία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Πυξίδα χάρτη μεταλλική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Υλικά ηλεκτρικού κυκλώματος - σετ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Αναλογικό Αμπερόμετρο με 2 κλίμακες, Αναλογικό Βολτόμετρο με 2 κλίμακες,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Καλώδια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κροκοδειλάκια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Καλώδια μπανάνες, Λαμπάκια, Μπαταρίες, Σετ αντιστάσεων, Τροφοδοτικό DC ρυθμιζόμενο 3-12V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ΦΩΤΙΣΤΙΚΟ με εύκαμπτο βραχίονα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διακόπτη ON/OFF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φις Ε27 βιδωτό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220-240V AC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Λαμπτήρας αλκοολούχου καυστήρα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Καυστήρας Αλκοόλης Με Βάση πλέγμα πύρωσης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Χωρητικότητας 100ml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Λαστιχένιος σωλήνας και πώμα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ΣΕΤ από ελαστικό σωλήνα (λαστιχένιος) 1m και 2 πώματα ελαστικά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Ράβδοι ανάδευσης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διάμετρο περίπου 5-6mm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μήκος περίπου 20-30mm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Λαβίδες φίλτρου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Μεταλλικές με μήκος 11-14cm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Απόχη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Διαμέτρου 38cm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πτυσσόμενο κοντάρι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Κασετίνα Μικροσκοπίου 10 τεμαχίων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περιλαμβάνει: Μεγεθυντικό φακό. Λαβίδες ίσια &amp; λοξή, 3 Ανατομικές βελόνες (ίσια και λοξή), 2 ψαλίδια, 2 νυστέρια.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Χάρτες, Διαγράμματα, Αφίσες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(βιότοποι, βιοποικιλότητα, ανανεώσιμες πηγές ενέργειας κ.λπ.)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Διαστάσεων περίπου 75cm x 105cm . Με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πηχάκια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.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Σετ Μαγνήτες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Να περιλαμβάνει πεταλοειδή μαγνήτη,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ραβδόμορφους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μαγγήτες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κυκλικούς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μαγήτες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με οπή, μικρές πυξίδες, ρινίσματα-τύπου αλατιέρα, σετ από μεταλλικές μικρές πλάκες διαφόρων υλικών.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Μεγεθυντικός φακός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τουλάχιστον 90mm διάμετρο και με 2 μεγεθύνσεις πχ 3x &amp; 6x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Μεγεθυντικός φακός - Δοχείο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μεγέθυνση τουλάχιστον 5x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έχει χώρο για την τοποθέτηση μικρών αντικειμένων αλλά και κατάλληλο για τοποθέτηση εντόμων.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2 θέσεις για παρατήρηση και μεγέθυνση.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Κιάλια</w:t>
            </w:r>
            <w:r>
              <w:rPr>
                <w:rFonts w:ascii="Calibri" w:eastAsia="Calibri" w:hAnsi="Calibri" w:cs="Calibri"/>
                <w:color w:val="000000"/>
              </w:rPr>
              <w:br/>
              <w:t>Διαστάσεις:  8x40 ή μεγαλύτερα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διάμετρο φακού τουλάχιστον 40mm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μεγέθυνση τουλάχιστον 8x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Με θήκη προστασίας ή τσάντα μεταφοράς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Εργαστηριακός Ηλεκτρονικός Ζυγός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Ζυγός με 2 δεκαδικά ψηφία (0.01g)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μέγιστη ζύγιση τα 1200g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αυτόματη βαθμονόμηση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Μέτρηση σε διάφορες μονάδες όπως g,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oz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και άλλα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Να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διαθετει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κάλυμμα για προστασία κατά την μέτρηση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λειτουργεί με τροφοδοτικό αλλά και με μπαταρίες.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ένδειξη στάθμης μπαταρίας (ή ένδειξη χαμηλής στάθμης)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Επωαστήρας Αυγών 9 έως 12 θέσεων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θέσεις 9 μεγάλα ή 12 μετρίου μεγέθους αυγά κότας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κατάλληλος για επώαση αυγών από κότα, πάπια, χήνα, περιστέρι, παγώνι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ενσωματωμένο σύστημα ελέγχου θερμοκρασίας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ρύθμιση θερμοκρασίας από 20 έως 90 °C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Βιολογικό Μικροσκόπιο 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Μεγέθυνση: 1000x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κεφαλή με κλίση 45°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Προσοφθάλμιος WF10x/18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4 αντικειμενικούς φακούς: 4x, 10x, 40x, 100x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oil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Με ομοαξονικό σύστημα αδρής και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μικρομετρικής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εστίασης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Τράπεζα με μηχανική κίνηση με κοχλίες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Στερεοσκόπιο 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20x/40x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Κεφαλή: κλίση 45°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Προσοφθάλμιοι: WF 10x/20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mm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Αντικειμενικοί: 2x-4x για μεγέθυνση 20x &amp; 40x αντίστοιχα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λαβή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Με διπλό φωτισμό: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διεύλευσης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και προσπίπτων φωτισμό LED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ενσωματωμένη μπαταρία για αυτονομία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Συσκευή Φιλτραρίσματος  υπό Κενού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Να διαθέτει χωνί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Buchner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αντλία κενού με μανόμετρο, σωλήνα σιλικόνης, σετ φίλτρων και φιάλη κενού τουλάχιστον 500ml.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Πέτρινη πλάκα (για την καλλιέργεια μικροβίων ή κυττάρων)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Τρυβλία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Petri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σετ των 100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έχει διάμετρο 90mm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είναι πλαστικό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Τηλεσκόπιο Επίγειας Παρατήρησης 20-60x60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μεγέθυνση 20-60x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Τύπος πρίσματος: BK-7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Διάμετρος φακού: 60mm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τρίποδο τραπεζιού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τσάντα μεταφοράς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Σύστημα Δειγματοληψίας κορμών δέντρου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περιλαμβάνει λαβή, τρυπάνι στο μπροστινό μέρος, και τον μεταλλικό δειγματολήπτη.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Σετ Εργαλείων Κήπου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Σκαπάνη χειρός με διπλή κεφαλή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Τσουγκράνα χειρός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Φτυάρι χειρός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Κουβά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Κουτιά αποθήκευσης πλαστικά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Από Χημικά αδρανές πολυπροπυλένιο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recyclable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Διαστάσεων περίπου 15cm ύψος (βάθος) x 30cm μήκος x 37cm πλάτος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Χωρητικότητας περίπου 12L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Να μπορούν να στοιβάζονται το ένα μέσα στο άλλο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διάφανο καπάκι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Μεγάλα κουτιά αποθήκευσης πλαστικά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Από Χημικά αδρανές πολυπροπυλένιο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recyclable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Διαστάσεων περίπου 30cm ύψος (βάθος) x 30cm μήκος x 37cm πλάτος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Χωρητικότητας περίπου 20L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μπορούν να στοιβάζονται το ένα μέσα στο άλλο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διαθέτει διάφανο καπάκι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Αισθητήρες Συλλογής Δεδομένων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Να διαθέτει λογισμικό γραφικών για υπολογιστή /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tablet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περιλαμβάνει τους παρακάτω αισθητήρες: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7x Θερμοκρασίας με εύρος -25 έως 125C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7x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με εύρος 0-14pH (ανάλυση 0.004pH)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7x διαλυμένο οξυγόνο με εύρος 0-15mg/L (±0.2%)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7x αγωγιμότητα με εύρος 0-20.000μS/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cm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Φορητός Μετρητής Θολότητας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δυνατότητα βαθμονόμησης 2 έως 5 σημείων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4 μονάδες θολότητας συμπεριλαμβανομένων των NTU, FNU, EBC και ASBC.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μνήμη που αποθηκεύει έως και 100 μετρήσεις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Με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διεπαφή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επικοινωνίας USB για μεταφορά δεδομένων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Συσκευή μέτρησης ποιότητας αέρα</w:t>
            </w:r>
            <w:r>
              <w:rPr>
                <w:rFonts w:ascii="Calibri" w:eastAsia="Calibri" w:hAnsi="Calibri" w:cs="Calibri"/>
                <w:color w:val="000000"/>
              </w:rPr>
              <w:br/>
              <w:t>Να μετράει υγρασία (1-95%)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μετράει θερμοκρασία (1-50C)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μετράει CO2 (0-9999ppm)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υπάρχει γράφημα ιστορικού CO2 για τις τελευταίες 24 ώρες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έχει 3 επίπεδα φωτισμού και επιλογή συναγερμού όταν ξεπεράσει ένα ορισμένο όριο.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Μετρητής Υγρασίας/Φωτισμού/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pH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Εδάφους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2 αισθητήρες μεταλλικούς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Λειτουργία χωρίς τη χρήση μπαταριών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Κουτί Ανάλυσης Εδάφους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Ανίχνευση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, αζώτου, φωσφόρου, καλίου.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Με υλικά για την πραγματοποίηση 80 μετρήσεων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Πειραμάτων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Φίλτρανσης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Νερού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Πλαστική χοάνη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Σωλήνα φιλτραρίσματος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Διηθητικό χαρτί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Πλαστικό δοχείο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Σφουγγαράκια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Υλικά για το φιλτράρισμα νερού όπως γρανίτη, ενεργό άνθρακα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5595" w:type="dxa"/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Επιστήμης Ανανεώσιμων Πηγών Ενέργειας - Λύκειο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να περιλαμβάνει υλικά για 12 ομάδες: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12x Κυψέλη Καυσίμου Αναστρέψιμη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Reversible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12x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set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για σωληνώσεις με σωλήνα σιλικόνης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24x σύριγγες 5ml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24x σύριγγες 20ml</w:t>
            </w:r>
          </w:p>
          <w:p w:rsidR="003C4649" w:rsidRPr="00F519E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lang w:val="en-US"/>
              </w:rPr>
            </w:pPr>
            <w:r w:rsidRPr="00F519E9">
              <w:rPr>
                <w:rFonts w:ascii="Calibri" w:eastAsia="Calibri" w:hAnsi="Calibri" w:cs="Calibri"/>
                <w:color w:val="000000"/>
                <w:lang w:val="en-US"/>
              </w:rPr>
              <w:t xml:space="preserve">12x set </w:t>
            </w:r>
            <w:r>
              <w:rPr>
                <w:rFonts w:ascii="Calibri" w:eastAsia="Calibri" w:hAnsi="Calibri" w:cs="Calibri"/>
                <w:color w:val="000000"/>
              </w:rPr>
              <w:t>με</w:t>
            </w:r>
            <w:r w:rsidRPr="00F519E9">
              <w:rPr>
                <w:rFonts w:ascii="Calibri" w:eastAsia="Calibri" w:hAnsi="Calibri" w:cs="Calibri"/>
                <w:color w:val="000000"/>
                <w:lang w:val="en-US"/>
              </w:rPr>
              <w:t xml:space="preserve"> LED </w:t>
            </w:r>
            <w:r>
              <w:rPr>
                <w:rFonts w:ascii="Calibri" w:eastAsia="Calibri" w:hAnsi="Calibri" w:cs="Calibri"/>
                <w:color w:val="000000"/>
              </w:rPr>
              <w:t>και</w:t>
            </w:r>
            <w:r w:rsidRPr="00F519E9">
              <w:rPr>
                <w:rFonts w:ascii="Calibri" w:eastAsia="Calibri" w:hAnsi="Calibri" w:cs="Calibri"/>
                <w:color w:val="000000"/>
                <w:lang w:val="en-US"/>
              </w:rPr>
              <w:t xml:space="preserve"> PCB board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12x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μπαταριοθήκες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12x μοτέρ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12x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gearbox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για τα μοτέρ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Επιστήμης Ανανεώσιμων Πηγών Ενέργειας - Γυμνάσιο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Ανεμογεννήτρια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Συσκευή Ηλεκτρόλυσης με κυψέλη υδρογόνου και κυλίνδρους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Φωτοβολταϊκό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πάνελ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solar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Μοτέρ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Κυψέλη υδρογόνου (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fuel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cell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Λαμπτήρες ή LED σε βάση με υποδοχές για σύνδεση καλωδίων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Καλώδια σύνδεσης για όλα τα παραπάνω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Βάση συνδεσμολογίας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Επιστήμης Ανανεώσιμων Πηγών Ενέργειας - Δημοτικό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α)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κατασκευής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ανεμογγενήτριας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το οποίο να έχει πλαστικά δομικά στοιχεία για να είναι κατάλληλα για παιδιά δημοτικού. Να παρέχονται οδηγίες κατασκευής τουλάχιστον 10 μοντέλων σχετικά με την αιολική ενέργεια.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β)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κατασκευής ηλιακών μοντέλων το οποίο να έχει πλαστικά δομικά στοιχεία για να είναι κατάλληλα για παιδιά δημοτικού. Να παρέχονται οδηγίες κατασκευής τουλάχιστον 10 μοντέλων σχετικά με την ηλιακή ενέργεια, χρήση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φωτοβολταϊκών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Κιτ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Ανακύκλωσης Χαρτιού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Υδροβολέας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Πλαστικός 250ml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Πλαστικός δίσκος εργαστηρίου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Να έχει διαστάσεις περίπου 42x30cm με βάθος 7cm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Εργαστηριακό Τροφοδοτικό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0-30VDC , 0-10Amp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Σετ εργαλείων εργαστηρίου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Το σετ εργαλείων να περιλαμβάνει: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Πιστόλι σιλικόνης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Κολλητήρι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Τρόμπα κόλλησης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Ανταλλακτικές μύτες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Καλάι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Πένσα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Ψηφιακό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Πολύμετρο</w:t>
            </w:r>
            <w:proofErr w:type="spellEnd"/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Κοπίδι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Όλα σε πρακτικό βαλιτσάκι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Σπάτουλες μεταλλικές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μήκος περίπου 150mm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Μπαλαντέζες τουλάχιστον 12 μέτρα ρεύματος καρούλια με ασφάλεια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649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Σετ υλικών ασφαλείας εργαστηρίων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10x  Γυαλιά ασφαλείας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10x Θερμομονωτικό γάντι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10x Γάντια κοπής CAT5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10x Ποδιές εργαστηρίου</w:t>
            </w:r>
          </w:p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 κουτιά Γάντια μιας χρήσης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Νιτριλίου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4649" w:rsidRDefault="00C355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□ □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49" w:rsidRDefault="003C46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3C4649" w:rsidRDefault="003C4649">
      <w:pPr>
        <w:pBdr>
          <w:top w:val="nil"/>
          <w:left w:val="nil"/>
          <w:bottom w:val="nil"/>
          <w:right w:val="nil"/>
          <w:between w:val="nil"/>
        </w:pBdr>
        <w:spacing w:before="57" w:after="57"/>
        <w:jc w:val="both"/>
        <w:rPr>
          <w:rFonts w:ascii="Calibri" w:eastAsia="Calibri" w:hAnsi="Calibri" w:cs="Calibri"/>
          <w:color w:val="5B9BD5"/>
          <w:sz w:val="22"/>
          <w:szCs w:val="22"/>
        </w:rPr>
      </w:pPr>
      <w:bookmarkStart w:id="0" w:name="_heading=h.2rrrqc1" w:colFirst="0" w:colLast="0"/>
      <w:bookmarkStart w:id="1" w:name="_GoBack"/>
      <w:bookmarkEnd w:id="0"/>
      <w:bookmarkEnd w:id="1"/>
    </w:p>
    <w:sectPr w:rsidR="003C4649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CC" w:rsidRDefault="00C35546">
      <w:r>
        <w:separator/>
      </w:r>
    </w:p>
  </w:endnote>
  <w:endnote w:type="continuationSeparator" w:id="0">
    <w:p w:rsidR="00DD12CC" w:rsidRDefault="00C3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649" w:rsidRDefault="003C4649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8"/>
        <w:szCs w:val="18"/>
      </w:rPr>
    </w:pPr>
  </w:p>
  <w:p w:rsidR="003C4649" w:rsidRDefault="00C3554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</w:rPr>
      <w:t xml:space="preserve">Σελίδα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F519E9">
      <w:rPr>
        <w:rFonts w:ascii="Calibri" w:eastAsia="Calibri" w:hAnsi="Calibri" w:cs="Calibri"/>
        <w:noProof/>
        <w:color w:val="000000"/>
      </w:rPr>
      <w:t>2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649" w:rsidRDefault="00C35546">
    <w:pPr>
      <w:pBdr>
        <w:top w:val="nil"/>
        <w:left w:val="nil"/>
        <w:bottom w:val="nil"/>
        <w:right w:val="nil"/>
        <w:between w:val="nil"/>
      </w:pBdr>
      <w:spacing w:before="240" w:after="100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Συγκρότημα Πολυτεχνικής Σχολής,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Βασ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. Σοφίας 12, 671 32  ΞΑΝΘΗ </w:t>
    </w:r>
  </w:p>
  <w:p w:rsidR="003C4649" w:rsidRDefault="00C35546">
    <w:pPr>
      <w:pBdr>
        <w:top w:val="nil"/>
        <w:left w:val="nil"/>
        <w:bottom w:val="nil"/>
        <w:right w:val="nil"/>
        <w:between w:val="nil"/>
      </w:pBdr>
      <w:spacing w:after="100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Τμ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. Προμηθειών,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τηλ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.: 25410-79410 </w:t>
    </w:r>
  </w:p>
  <w:p w:rsidR="003C4649" w:rsidRDefault="00C35546">
    <w:pPr>
      <w:pBdr>
        <w:top w:val="nil"/>
        <w:left w:val="nil"/>
        <w:bottom w:val="nil"/>
        <w:right w:val="nil"/>
        <w:between w:val="nil"/>
      </w:pBdr>
      <w:spacing w:after="100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i/>
        <w:color w:val="000000"/>
        <w:sz w:val="16"/>
        <w:szCs w:val="16"/>
      </w:rPr>
      <w:t xml:space="preserve">email: </w:t>
    </w:r>
    <w:hyperlink r:id="rId1">
      <w:r>
        <w:rPr>
          <w:rFonts w:ascii="Calibri" w:eastAsia="Calibri" w:hAnsi="Calibri" w:cs="Calibri"/>
          <w:i/>
          <w:color w:val="0000FF"/>
          <w:sz w:val="16"/>
          <w:szCs w:val="16"/>
          <w:u w:val="single"/>
        </w:rPr>
        <w:t>supplies@rescom.duth.gr</w:t>
      </w:r>
    </w:hyperlink>
    <w:r>
      <w:rPr>
        <w:rFonts w:ascii="Calibri" w:eastAsia="Calibri" w:hAnsi="Calibri" w:cs="Calibri"/>
        <w:i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16"/>
        <w:szCs w:val="16"/>
      </w:rPr>
      <w:t>web</w:t>
    </w:r>
    <w:proofErr w:type="spellEnd"/>
    <w:r>
      <w:rPr>
        <w:rFonts w:ascii="Calibri" w:eastAsia="Calibri" w:hAnsi="Calibri" w:cs="Calibri"/>
        <w:i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16"/>
        <w:szCs w:val="16"/>
      </w:rPr>
      <w:t>site</w:t>
    </w:r>
    <w:proofErr w:type="spellEnd"/>
    <w:r>
      <w:rPr>
        <w:rFonts w:ascii="Calibri" w:eastAsia="Calibri" w:hAnsi="Calibri" w:cs="Calibri"/>
        <w:i/>
        <w:color w:val="000000"/>
        <w:sz w:val="16"/>
        <w:szCs w:val="16"/>
      </w:rPr>
      <w:t xml:space="preserve">: </w:t>
    </w:r>
    <w:hyperlink r:id="rId2">
      <w:r>
        <w:rPr>
          <w:rFonts w:ascii="Calibri" w:eastAsia="Calibri" w:hAnsi="Calibri" w:cs="Calibri"/>
          <w:i/>
          <w:color w:val="0000FF"/>
          <w:sz w:val="16"/>
          <w:szCs w:val="16"/>
          <w:u w:val="single"/>
        </w:rPr>
        <w:t>http://rescom.duth.gr</w:t>
      </w:r>
    </w:hyperlink>
  </w:p>
  <w:p w:rsidR="003C4649" w:rsidRDefault="00C35546">
    <w:pPr>
      <w:pBdr>
        <w:top w:val="nil"/>
        <w:left w:val="nil"/>
        <w:bottom w:val="nil"/>
        <w:right w:val="nil"/>
        <w:between w:val="nil"/>
      </w:pBdr>
      <w:spacing w:before="60" w:after="100"/>
      <w:jc w:val="both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Ε-04-01-01/1</w:t>
    </w:r>
    <w:r>
      <w:rPr>
        <w:rFonts w:ascii="Calibri" w:eastAsia="Calibri" w:hAnsi="Calibri" w:cs="Calibri"/>
        <w:b/>
        <w:color w:val="000000"/>
        <w:sz w:val="18"/>
        <w:szCs w:val="18"/>
        <w:vertAlign w:val="superscript"/>
      </w:rPr>
      <w:t>η</w:t>
    </w:r>
    <w:r>
      <w:rPr>
        <w:rFonts w:ascii="Calibri" w:eastAsia="Calibri" w:hAnsi="Calibri" w:cs="Calibri"/>
        <w:b/>
        <w:color w:val="000000"/>
        <w:sz w:val="18"/>
        <w:szCs w:val="18"/>
      </w:rPr>
      <w:t xml:space="preserve"> Έκδοση/18-11-2015                                                                                                                                 ISO 9001:2015</w:t>
    </w:r>
  </w:p>
  <w:p w:rsidR="003C4649" w:rsidRDefault="003C4649">
    <w:pPr>
      <w:pBdr>
        <w:top w:val="nil"/>
        <w:left w:val="nil"/>
        <w:bottom w:val="nil"/>
        <w:right w:val="nil"/>
        <w:between w:val="nil"/>
      </w:pBdr>
      <w:spacing w:after="100"/>
      <w:rPr>
        <w:rFonts w:ascii="Calibri" w:eastAsia="Calibri" w:hAnsi="Calibri" w:cs="Calibri"/>
        <w:color w:val="000000"/>
        <w:sz w:val="22"/>
        <w:szCs w:val="22"/>
      </w:rPr>
    </w:pPr>
  </w:p>
  <w:p w:rsidR="003C4649" w:rsidRDefault="003C4649">
    <w:pPr>
      <w:pBdr>
        <w:top w:val="nil"/>
        <w:left w:val="nil"/>
        <w:bottom w:val="nil"/>
        <w:right w:val="nil"/>
        <w:between w:val="nil"/>
      </w:pBdr>
      <w:spacing w:after="100"/>
      <w:jc w:val="both"/>
      <w:rPr>
        <w:rFonts w:ascii="Calibri" w:eastAsia="Calibri" w:hAnsi="Calibri" w:cs="Calibri"/>
        <w:color w:val="000000"/>
        <w:sz w:val="22"/>
        <w:szCs w:val="22"/>
      </w:rPr>
    </w:pPr>
  </w:p>
  <w:p w:rsidR="003C4649" w:rsidRDefault="003C4649">
    <w:pPr>
      <w:pBdr>
        <w:top w:val="nil"/>
        <w:left w:val="nil"/>
        <w:bottom w:val="nil"/>
        <w:right w:val="nil"/>
        <w:between w:val="nil"/>
      </w:pBdr>
      <w:spacing w:after="100"/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CC" w:rsidRDefault="00C35546">
      <w:r>
        <w:separator/>
      </w:r>
    </w:p>
  </w:footnote>
  <w:footnote w:type="continuationSeparator" w:id="0">
    <w:p w:rsidR="00DD12CC" w:rsidRDefault="00C3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649" w:rsidRDefault="003C4649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D77"/>
    <w:multiLevelType w:val="multilevel"/>
    <w:tmpl w:val="60F6569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F355A6"/>
    <w:multiLevelType w:val="multilevel"/>
    <w:tmpl w:val="F12E3226"/>
    <w:lvl w:ilvl="0">
      <w:start w:val="1"/>
      <w:numFmt w:val="bullet"/>
      <w:lvlText w:val="­"/>
      <w:lvlJc w:val="left"/>
      <w:pPr>
        <w:ind w:left="720" w:hanging="360"/>
      </w:pPr>
      <w:rPr>
        <w:rFonts w:ascii="Angsana New" w:eastAsia="Angsana New" w:hAnsi="Angsana New" w:cs="Angsana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4D702C"/>
    <w:multiLevelType w:val="multilevel"/>
    <w:tmpl w:val="31BA0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AC62B36"/>
    <w:multiLevelType w:val="multilevel"/>
    <w:tmpl w:val="E8C8D8D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2C957897"/>
    <w:multiLevelType w:val="multilevel"/>
    <w:tmpl w:val="0F94DB98"/>
    <w:lvl w:ilvl="0">
      <w:start w:val="1"/>
      <w:numFmt w:val="bullet"/>
      <w:lvlText w:val="⮚"/>
      <w:lvlJc w:val="left"/>
      <w:pPr>
        <w:ind w:left="76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4F58ED"/>
    <w:multiLevelType w:val="multilevel"/>
    <w:tmpl w:val="65805654"/>
    <w:lvl w:ilvl="0">
      <w:start w:val="1"/>
      <w:numFmt w:val="upperRoman"/>
      <w:lvlText w:val="%1."/>
      <w:lvlJc w:val="left"/>
      <w:pPr>
        <w:ind w:left="1260" w:hanging="1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2.%3."/>
      <w:lvlJc w:val="left"/>
      <w:pPr>
        <w:ind w:left="27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2.%3.%4.%5.%6."/>
      <w:lvlJc w:val="left"/>
      <w:pPr>
        <w:ind w:left="48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left"/>
      <w:pPr>
        <w:ind w:left="7020" w:hanging="180"/>
      </w:pPr>
      <w:rPr>
        <w:vertAlign w:val="baseline"/>
      </w:rPr>
    </w:lvl>
  </w:abstractNum>
  <w:abstractNum w:abstractNumId="6" w15:restartNumberingAfterBreak="0">
    <w:nsid w:val="37882D32"/>
    <w:multiLevelType w:val="multilevel"/>
    <w:tmpl w:val="105864A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58FD2757"/>
    <w:multiLevelType w:val="multilevel"/>
    <w:tmpl w:val="C5BC7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BB7AF7"/>
    <w:multiLevelType w:val="multilevel"/>
    <w:tmpl w:val="44A4A9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B62629C"/>
    <w:multiLevelType w:val="multilevel"/>
    <w:tmpl w:val="7D7EEC9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FDA4992"/>
    <w:multiLevelType w:val="multilevel"/>
    <w:tmpl w:val="6346DB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49"/>
    <w:rsid w:val="00242ED3"/>
    <w:rsid w:val="0033042B"/>
    <w:rsid w:val="003C4649"/>
    <w:rsid w:val="008A64CE"/>
    <w:rsid w:val="008C0123"/>
    <w:rsid w:val="00B80E04"/>
    <w:rsid w:val="00C07361"/>
    <w:rsid w:val="00C35546"/>
    <w:rsid w:val="00DD12CC"/>
    <w:rsid w:val="00DF2A07"/>
    <w:rsid w:val="00F519E9"/>
    <w:rsid w:val="00FE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9F658-B38A-41B8-BE7F-5AD0BB67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tabs>
        <w:tab w:val="left" w:pos="567"/>
      </w:tabs>
      <w:spacing w:before="320" w:after="160"/>
      <w:ind w:left="567"/>
      <w:jc w:val="both"/>
      <w:outlineLvl w:val="0"/>
    </w:pPr>
    <w:rPr>
      <w:rFonts w:ascii="Calibri" w:eastAsia="Calibri" w:hAnsi="Calibri" w:cs="Calibri"/>
      <w:b/>
      <w:color w:val="333399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/>
      <w:jc w:val="both"/>
      <w:outlineLvl w:val="1"/>
    </w:pPr>
    <w:rPr>
      <w:rFonts w:ascii="Calibri" w:eastAsia="Calibri" w:hAnsi="Calibri" w:cs="Calibri"/>
      <w:b/>
      <w:color w:val="002060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40" w:after="60"/>
      <w:ind w:left="567"/>
      <w:jc w:val="both"/>
      <w:outlineLvl w:val="2"/>
    </w:pPr>
    <w:rPr>
      <w:rFonts w:ascii="Calibri" w:eastAsia="Calibri" w:hAnsi="Calibri" w:cs="Calibri"/>
      <w:b/>
      <w:sz w:val="22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60"/>
      <w:ind w:left="567"/>
      <w:jc w:val="both"/>
      <w:outlineLvl w:val="3"/>
    </w:pPr>
    <w:rPr>
      <w:rFonts w:ascii="Calibri" w:eastAsia="Calibri" w:hAnsi="Calibri" w:cs="Calibri"/>
      <w:b/>
      <w:sz w:val="22"/>
      <w:szCs w:val="2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tabs>
        <w:tab w:val="left" w:pos="567"/>
      </w:tabs>
      <w:spacing w:before="320" w:after="160"/>
      <w:ind w:left="567"/>
      <w:jc w:val="both"/>
      <w:outlineLvl w:val="0"/>
    </w:pPr>
    <w:rPr>
      <w:rFonts w:ascii="Calibri" w:eastAsia="Calibri" w:hAnsi="Calibri" w:cs="Calibri"/>
      <w:b/>
      <w:color w:val="333399"/>
      <w:sz w:val="28"/>
      <w:szCs w:val="28"/>
    </w:rPr>
  </w:style>
  <w:style w:type="paragraph" w:customStyle="1" w:styleId="heading20">
    <w:name w:val="heading 20"/>
    <w:basedOn w:val="Normal0"/>
    <w:next w:val="Normal0"/>
    <w:uiPriority w:val="9"/>
    <w:unhideWhenUsed/>
    <w:qFormat/>
    <w:pPr>
      <w:keepNext/>
      <w:keepLines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/>
      <w:jc w:val="both"/>
      <w:outlineLvl w:val="1"/>
    </w:pPr>
    <w:rPr>
      <w:rFonts w:ascii="Calibri" w:eastAsia="Calibri" w:hAnsi="Calibri" w:cs="Calibri"/>
      <w:b/>
      <w:color w:val="002060"/>
      <w:sz w:val="24"/>
      <w:szCs w:val="24"/>
    </w:rPr>
  </w:style>
  <w:style w:type="paragraph" w:customStyle="1" w:styleId="heading30">
    <w:name w:val="heading 30"/>
    <w:basedOn w:val="Normal0"/>
    <w:next w:val="Normal0"/>
    <w:uiPriority w:val="9"/>
    <w:unhideWhenUsed/>
    <w:qFormat/>
    <w:pPr>
      <w:keepNext/>
      <w:keepLines/>
      <w:spacing w:before="240" w:after="60"/>
      <w:ind w:left="567"/>
      <w:jc w:val="both"/>
      <w:outlineLvl w:val="2"/>
    </w:pPr>
    <w:rPr>
      <w:rFonts w:ascii="Calibri" w:eastAsia="Calibri" w:hAnsi="Calibri" w:cs="Calibri"/>
      <w:b/>
      <w:sz w:val="22"/>
      <w:szCs w:val="22"/>
    </w:rPr>
  </w:style>
  <w:style w:type="paragraph" w:customStyle="1" w:styleId="heading40">
    <w:name w:val="heading 40"/>
    <w:basedOn w:val="Normal0"/>
    <w:next w:val="Normal0"/>
    <w:uiPriority w:val="9"/>
    <w:unhideWhenUsed/>
    <w:qFormat/>
    <w:pPr>
      <w:keepNext/>
      <w:keepLines/>
      <w:spacing w:before="240" w:after="60"/>
      <w:ind w:left="567"/>
      <w:jc w:val="both"/>
      <w:outlineLvl w:val="3"/>
    </w:pPr>
    <w:rPr>
      <w:rFonts w:ascii="Calibri" w:eastAsia="Calibri" w:hAnsi="Calibri" w:cs="Calibri"/>
      <w:b/>
      <w:sz w:val="22"/>
      <w:szCs w:val="22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annotation text"/>
    <w:basedOn w:val="Normal0"/>
    <w:link w:val="Char"/>
    <w:uiPriority w:val="99"/>
    <w:semiHidden/>
    <w:unhideWhenUsed/>
  </w:style>
  <w:style w:type="character" w:customStyle="1" w:styleId="Char">
    <w:name w:val="Κείμενο σχολίου Char"/>
    <w:basedOn w:val="a0"/>
    <w:link w:val="af6"/>
    <w:uiPriority w:val="99"/>
    <w:semiHidden/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Balloon Text"/>
    <w:basedOn w:val="Normal0"/>
    <w:link w:val="Char0"/>
    <w:uiPriority w:val="99"/>
    <w:semiHidden/>
    <w:unhideWhenUsed/>
    <w:rsid w:val="004B129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f8"/>
    <w:uiPriority w:val="99"/>
    <w:semiHidden/>
    <w:rsid w:val="004B1297"/>
    <w:rPr>
      <w:rFonts w:ascii="Segoe UI" w:hAnsi="Segoe UI" w:cs="Segoe UI"/>
      <w:sz w:val="18"/>
      <w:szCs w:val="18"/>
    </w:rPr>
  </w:style>
  <w:style w:type="paragraph" w:styleId="af9">
    <w:name w:val="header"/>
    <w:basedOn w:val="Normal0"/>
    <w:link w:val="Char1"/>
    <w:uiPriority w:val="99"/>
    <w:unhideWhenUsed/>
    <w:rsid w:val="004B129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f9"/>
    <w:uiPriority w:val="99"/>
    <w:rsid w:val="004B1297"/>
  </w:style>
  <w:style w:type="paragraph" w:styleId="afa">
    <w:name w:val="footer"/>
    <w:basedOn w:val="Normal0"/>
    <w:link w:val="Char2"/>
    <w:uiPriority w:val="99"/>
    <w:unhideWhenUsed/>
    <w:rsid w:val="004B1297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fa"/>
    <w:uiPriority w:val="99"/>
    <w:rsid w:val="004B1297"/>
  </w:style>
  <w:style w:type="paragraph" w:styleId="afb">
    <w:name w:val="annotation subject"/>
    <w:basedOn w:val="af6"/>
    <w:next w:val="af6"/>
    <w:link w:val="Char3"/>
    <w:uiPriority w:val="99"/>
    <w:semiHidden/>
    <w:unhideWhenUsed/>
    <w:rsid w:val="004B1297"/>
    <w:rPr>
      <w:b/>
      <w:bCs/>
    </w:rPr>
  </w:style>
  <w:style w:type="character" w:customStyle="1" w:styleId="Char3">
    <w:name w:val="Θέμα σχολίου Char"/>
    <w:basedOn w:val="Char"/>
    <w:link w:val="afb"/>
    <w:uiPriority w:val="99"/>
    <w:semiHidden/>
    <w:rsid w:val="004B1297"/>
    <w:rPr>
      <w:b/>
      <w:bCs/>
    </w:rPr>
  </w:style>
  <w:style w:type="table" w:customStyle="1" w:styleId="a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4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e">
    <w:name w:val="footnote text"/>
    <w:basedOn w:val="Normal0"/>
    <w:link w:val="Char4"/>
    <w:unhideWhenUsed/>
    <w:rsid w:val="00026C75"/>
    <w:pPr>
      <w:suppressAutoHyphens/>
      <w:ind w:left="425" w:hanging="425"/>
      <w:jc w:val="both"/>
    </w:pPr>
    <w:rPr>
      <w:rFonts w:ascii="Calibri" w:hAnsi="Calibri" w:cs="Calibri"/>
      <w:sz w:val="18"/>
      <w:lang w:val="en-IE" w:eastAsia="zh-CN"/>
    </w:rPr>
  </w:style>
  <w:style w:type="character" w:customStyle="1" w:styleId="Char4">
    <w:name w:val="Κείμενο υποσημείωσης Char"/>
    <w:basedOn w:val="a0"/>
    <w:link w:val="affe"/>
    <w:rsid w:val="00026C75"/>
    <w:rPr>
      <w:rFonts w:ascii="Calibri" w:hAnsi="Calibri" w:cs="Calibri"/>
      <w:sz w:val="18"/>
      <w:lang w:val="en-IE" w:eastAsia="zh-CN"/>
    </w:rPr>
  </w:style>
  <w:style w:type="character" w:customStyle="1" w:styleId="FootnoteReference2">
    <w:name w:val="Footnote Reference2"/>
    <w:rsid w:val="00026C75"/>
    <w:rPr>
      <w:vertAlign w:val="superscript"/>
    </w:rPr>
  </w:style>
  <w:style w:type="character" w:customStyle="1" w:styleId="afff">
    <w:name w:val="Σύμβολο υποσημείωσης"/>
    <w:rsid w:val="00026C75"/>
    <w:rPr>
      <w:vertAlign w:val="superscript"/>
    </w:rPr>
  </w:style>
  <w:style w:type="table" w:customStyle="1" w:styleId="afff0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3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-HTML">
    <w:name w:val="HTML Preformatted"/>
    <w:basedOn w:val="Normal0"/>
    <w:link w:val="-HTMLChar"/>
    <w:uiPriority w:val="99"/>
    <w:rsid w:val="00DB3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zh-CN"/>
    </w:rPr>
  </w:style>
  <w:style w:type="character" w:customStyle="1" w:styleId="-HTMLChar">
    <w:name w:val="Προ-διαμορφωμένο HTML Char"/>
    <w:basedOn w:val="a0"/>
    <w:link w:val="-HTML"/>
    <w:uiPriority w:val="99"/>
    <w:rsid w:val="00DB3A1A"/>
    <w:rPr>
      <w:rFonts w:ascii="Courier New" w:hAnsi="Courier New" w:cs="Courier New"/>
      <w:lang w:eastAsia="zh-CN"/>
    </w:rPr>
  </w:style>
  <w:style w:type="character" w:styleId="-">
    <w:name w:val="Hyperlink"/>
    <w:uiPriority w:val="99"/>
    <w:rsid w:val="009A33BA"/>
    <w:rPr>
      <w:color w:val="0000FF"/>
      <w:u w:val="single"/>
    </w:rPr>
  </w:style>
  <w:style w:type="paragraph" w:customStyle="1" w:styleId="normalwithoutspacing">
    <w:name w:val="normal_without_spacing"/>
    <w:basedOn w:val="Normal0"/>
    <w:rsid w:val="00776E52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character" w:styleId="affffff5">
    <w:name w:val="footnote reference"/>
    <w:uiPriority w:val="99"/>
    <w:rsid w:val="00A60A29"/>
    <w:rPr>
      <w:vertAlign w:val="superscript"/>
    </w:rPr>
  </w:style>
  <w:style w:type="paragraph" w:customStyle="1" w:styleId="Default">
    <w:name w:val="Default"/>
    <w:rsid w:val="00C426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affffff6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0"/>
    <w:uiPriority w:val="1"/>
    <w:qFormat/>
    <w:rsid w:val="00D92B7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ubtitle0">
    <w:name w:val="Subtitle0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7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1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8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9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a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b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c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d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e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0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1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2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3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4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5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6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7">
    <w:basedOn w:val="a1"/>
    <w:pPr>
      <w:widowControl w:val="0"/>
      <w:jc w:val="both"/>
    </w:pPr>
    <w:tblPr>
      <w:tblStyleRowBandSize w:val="1"/>
      <w:tblStyleColBandSize w:val="1"/>
    </w:tblPr>
  </w:style>
  <w:style w:type="table" w:customStyle="1" w:styleId="afffffffff8">
    <w:basedOn w:val="a1"/>
    <w:pPr>
      <w:widowControl w:val="0"/>
      <w:jc w:val="both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escom.duth.gr" TargetMode="External"/><Relationship Id="rId1" Type="http://schemas.openxmlformats.org/officeDocument/2006/relationships/hyperlink" Target="mailto:supplies@rescom.d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yPQISNPe4tK0PqsCnDN7RLKLIQ==">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1340</Words>
  <Characters>7239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Πολύμνια Χαχαμοπούλου</dc:creator>
  <cp:lastModifiedBy>Βασίλειος Λαχανάς</cp:lastModifiedBy>
  <cp:revision>13</cp:revision>
  <dcterms:created xsi:type="dcterms:W3CDTF">2024-12-05T14:47:00Z</dcterms:created>
  <dcterms:modified xsi:type="dcterms:W3CDTF">2024-12-12T06:44:00Z</dcterms:modified>
</cp:coreProperties>
</file>